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2AC4" w14:textId="32A6BD33" w:rsidR="009E6F44" w:rsidRPr="00BA7E03" w:rsidRDefault="0065267B" w:rsidP="00DC354D">
      <w:pPr>
        <w:rPr>
          <w:rFonts w:ascii="Calibri" w:hAnsi="Calibri" w:cs="Calibri"/>
          <w:b/>
          <w:bCs/>
        </w:rPr>
      </w:pPr>
      <w:r w:rsidRPr="00C20E64">
        <w:rPr>
          <w:rFonts w:ascii="Calibri" w:hAnsi="Calibri" w:cs="Calibri"/>
          <w:b/>
          <w:bCs/>
          <w:highlight w:val="yellow"/>
        </w:rPr>
        <w:t xml:space="preserve">SHORT FORM - </w:t>
      </w:r>
      <w:r w:rsidR="009E6F44" w:rsidRPr="00C20E64">
        <w:rPr>
          <w:rFonts w:ascii="Calibri" w:hAnsi="Calibri" w:cs="Calibri"/>
          <w:b/>
          <w:bCs/>
          <w:highlight w:val="yellow"/>
        </w:rPr>
        <w:t>DRAFT CRA COMMENT LETTER</w:t>
      </w:r>
    </w:p>
    <w:p w14:paraId="02163A5C" w14:textId="35F924B1" w:rsidR="009E6F44" w:rsidRPr="00BA7E03" w:rsidRDefault="00BA7E03" w:rsidP="00DC354D">
      <w:pPr>
        <w:rPr>
          <w:rFonts w:ascii="Calibri" w:hAnsi="Calibri" w:cs="Calibri"/>
        </w:rPr>
      </w:pPr>
      <w:r w:rsidRPr="00BA7E03">
        <w:rPr>
          <w:rFonts w:ascii="Calibri" w:hAnsi="Calibri" w:cs="Calibri"/>
        </w:rPr>
        <w:t>National Alliance of Community Economic Development Associations (NACEDA)</w:t>
      </w:r>
    </w:p>
    <w:p w14:paraId="70AC3ABC" w14:textId="0ECCC4C0" w:rsidR="00BA7E03" w:rsidRDefault="00BA7E03" w:rsidP="00DC354D">
      <w:pPr>
        <w:rPr>
          <w:rFonts w:ascii="Calibri" w:hAnsi="Calibri" w:cs="Calibri"/>
          <w:b/>
          <w:bCs/>
        </w:rPr>
      </w:pPr>
    </w:p>
    <w:p w14:paraId="60A4C02E" w14:textId="15826ED9" w:rsidR="00235BAC" w:rsidRDefault="00235BAC" w:rsidP="00DC354D">
      <w:pPr>
        <w:rPr>
          <w:rFonts w:ascii="Calibri" w:hAnsi="Calibri" w:cs="Calibri"/>
          <w:b/>
          <w:bCs/>
        </w:rPr>
      </w:pPr>
      <w:r w:rsidRPr="00235BAC">
        <w:rPr>
          <w:rFonts w:ascii="Calibri" w:hAnsi="Calibri" w:cs="Calibri"/>
          <w:b/>
          <w:bCs/>
          <w:highlight w:val="yellow"/>
        </w:rPr>
        <w:t>[Delete this cover page before submitting]</w:t>
      </w:r>
    </w:p>
    <w:p w14:paraId="26E107C1" w14:textId="77777777" w:rsidR="00235BAC" w:rsidRDefault="00235BAC" w:rsidP="00DC354D">
      <w:pPr>
        <w:rPr>
          <w:rFonts w:ascii="Calibri" w:hAnsi="Calibri" w:cs="Calibri"/>
          <w:b/>
          <w:bCs/>
        </w:rPr>
      </w:pPr>
    </w:p>
    <w:p w14:paraId="6F105C93" w14:textId="6BE57B67" w:rsidR="00BA7E03" w:rsidRPr="00BA7E03" w:rsidRDefault="00BA7E03" w:rsidP="00DC354D">
      <w:pPr>
        <w:rPr>
          <w:rFonts w:ascii="Calibri" w:hAnsi="Calibri" w:cs="Calibri"/>
          <w:b/>
          <w:bCs/>
          <w:u w:val="single"/>
        </w:rPr>
      </w:pPr>
      <w:r w:rsidRPr="00BA7E03">
        <w:rPr>
          <w:rFonts w:ascii="Calibri" w:hAnsi="Calibri" w:cs="Calibri"/>
          <w:b/>
          <w:bCs/>
          <w:u w:val="single"/>
        </w:rPr>
        <w:t>Summary</w:t>
      </w:r>
    </w:p>
    <w:p w14:paraId="4011F7F7" w14:textId="312947FF" w:rsidR="00BA7E03" w:rsidRPr="00BA7E03" w:rsidRDefault="00BA7E03" w:rsidP="00BA7E03">
      <w:pPr>
        <w:rPr>
          <w:rFonts w:ascii="Calibri" w:hAnsi="Calibri" w:cs="Calibri"/>
        </w:rPr>
      </w:pPr>
      <w:r w:rsidRPr="00BA7E03">
        <w:rPr>
          <w:rFonts w:ascii="Calibri" w:hAnsi="Calibri" w:cs="Calibri"/>
        </w:rPr>
        <w:t>On May 5, 2022, the Board of Governors of the Federal Reserve System, the Federal Deposit Insurance Corporation (FDIC), and the Office of the Comptroller of the Currency (OCC) proposed to jointly amend their regulations implementing the Community Reinvestment Act (CRA) to update how CRA activities qualify for consideration, where CRA activities are considered, and how CRA activities are evaluated.</w:t>
      </w:r>
      <w:r>
        <w:rPr>
          <w:rFonts w:ascii="Calibri" w:hAnsi="Calibri" w:cs="Calibri"/>
        </w:rPr>
        <w:t xml:space="preserve"> The jointly proposed rule is also known as a Notice of Proposed Rulemaking or an NPR. Regulators asked specific, numbered questions throughout the NPR </w:t>
      </w:r>
      <w:r w:rsidR="006F5433">
        <w:rPr>
          <w:rFonts w:ascii="Calibri" w:hAnsi="Calibri" w:cs="Calibri"/>
        </w:rPr>
        <w:t>to</w:t>
      </w:r>
      <w:r>
        <w:rPr>
          <w:rFonts w:ascii="Calibri" w:hAnsi="Calibri" w:cs="Calibri"/>
        </w:rPr>
        <w:t xml:space="preserve"> minimize burden on responding entities and individuals. NACEDA’s comment letter </w:t>
      </w:r>
      <w:r w:rsidR="009D609F">
        <w:rPr>
          <w:rFonts w:ascii="Calibri" w:hAnsi="Calibri" w:cs="Calibri"/>
        </w:rPr>
        <w:t xml:space="preserve">largely </w:t>
      </w:r>
      <w:r>
        <w:rPr>
          <w:rFonts w:ascii="Calibri" w:hAnsi="Calibri" w:cs="Calibri"/>
        </w:rPr>
        <w:t>follows the numbered format offered by the proposing agencies</w:t>
      </w:r>
      <w:r w:rsidR="009D609F">
        <w:rPr>
          <w:rFonts w:ascii="Calibri" w:hAnsi="Calibri" w:cs="Calibri"/>
        </w:rPr>
        <w:t xml:space="preserve"> and accompanies those numbered responses with a short number of priority recommendations</w:t>
      </w:r>
      <w:r>
        <w:rPr>
          <w:rFonts w:ascii="Calibri" w:hAnsi="Calibri" w:cs="Calibri"/>
        </w:rPr>
        <w:t>. But commenters are not required to follow their format.</w:t>
      </w:r>
    </w:p>
    <w:p w14:paraId="77B17CCD" w14:textId="4B2C6937" w:rsidR="00BA7E03" w:rsidRPr="00BA7E03" w:rsidRDefault="00BA7E03" w:rsidP="00DC354D">
      <w:pPr>
        <w:rPr>
          <w:rFonts w:ascii="Calibri" w:hAnsi="Calibri" w:cs="Calibri"/>
          <w:b/>
          <w:bCs/>
        </w:rPr>
      </w:pPr>
    </w:p>
    <w:p w14:paraId="01CD4763" w14:textId="44373BF5" w:rsidR="00BA7E03" w:rsidRPr="00235BAC" w:rsidRDefault="00BA7E03" w:rsidP="00DC354D">
      <w:pPr>
        <w:rPr>
          <w:rFonts w:ascii="Calibri" w:hAnsi="Calibri" w:cs="Calibri"/>
          <w:b/>
          <w:bCs/>
        </w:rPr>
      </w:pPr>
      <w:r w:rsidRPr="00235BAC">
        <w:rPr>
          <w:rFonts w:ascii="Calibri" w:hAnsi="Calibri" w:cs="Calibri"/>
          <w:b/>
          <w:bCs/>
          <w:highlight w:val="yellow"/>
        </w:rPr>
        <w:t>Comments on their proposed rule are due to the agencies on August 5, 2022.</w:t>
      </w:r>
    </w:p>
    <w:p w14:paraId="16040B03" w14:textId="34271FDF" w:rsidR="00BA7E03" w:rsidRDefault="00BA7E03" w:rsidP="00DC354D">
      <w:pPr>
        <w:rPr>
          <w:rFonts w:ascii="Calibri" w:hAnsi="Calibri" w:cs="Calibri"/>
        </w:rPr>
      </w:pPr>
    </w:p>
    <w:p w14:paraId="5BFE872D" w14:textId="1F3D0941" w:rsidR="00BA7E03" w:rsidRPr="00BA7E03" w:rsidRDefault="00BA7E03" w:rsidP="00DC354D">
      <w:pPr>
        <w:rPr>
          <w:rFonts w:ascii="Calibri" w:hAnsi="Calibri" w:cs="Calibri"/>
        </w:rPr>
      </w:pPr>
      <w:r>
        <w:rPr>
          <w:rFonts w:ascii="Calibri" w:hAnsi="Calibri" w:cs="Calibri"/>
        </w:rPr>
        <w:t xml:space="preserve">NACEDA drafted this </w:t>
      </w:r>
      <w:r w:rsidR="00242EF7">
        <w:rPr>
          <w:rFonts w:ascii="Calibri" w:hAnsi="Calibri" w:cs="Calibri"/>
        </w:rPr>
        <w:t xml:space="preserve">short form letter to encourage targeted and meaningful participation in the commenting process among </w:t>
      </w:r>
      <w:proofErr w:type="gramStart"/>
      <w:r w:rsidR="00242EF7">
        <w:rPr>
          <w:rFonts w:ascii="Calibri" w:hAnsi="Calibri" w:cs="Calibri"/>
        </w:rPr>
        <w:t>community based</w:t>
      </w:r>
      <w:proofErr w:type="gramEnd"/>
      <w:r w:rsidR="00242EF7">
        <w:rPr>
          <w:rFonts w:ascii="Calibri" w:hAnsi="Calibri" w:cs="Calibri"/>
        </w:rPr>
        <w:t xml:space="preserve"> development organizations.</w:t>
      </w:r>
    </w:p>
    <w:p w14:paraId="52B62E52" w14:textId="321BE518" w:rsidR="00BA7E03" w:rsidRPr="00BA7E03" w:rsidRDefault="00BA7E03" w:rsidP="00DC354D">
      <w:pPr>
        <w:rPr>
          <w:rFonts w:ascii="Calibri" w:hAnsi="Calibri" w:cs="Calibri"/>
          <w:b/>
          <w:bCs/>
        </w:rPr>
      </w:pPr>
    </w:p>
    <w:p w14:paraId="7330935F" w14:textId="1DB1AFEE" w:rsidR="00BA7E03" w:rsidRPr="00BA7E03" w:rsidRDefault="00BA7E03" w:rsidP="00DC354D">
      <w:pPr>
        <w:rPr>
          <w:rFonts w:ascii="Calibri" w:hAnsi="Calibri" w:cs="Calibri"/>
          <w:b/>
          <w:bCs/>
          <w:u w:val="single"/>
        </w:rPr>
      </w:pPr>
      <w:r>
        <w:rPr>
          <w:rFonts w:ascii="Calibri" w:hAnsi="Calibri" w:cs="Calibri"/>
          <w:b/>
          <w:bCs/>
          <w:u w:val="single"/>
        </w:rPr>
        <w:t>The Proposed Rule and How to Submit</w:t>
      </w:r>
    </w:p>
    <w:p w14:paraId="795642D6" w14:textId="77777777" w:rsidR="00BA7E03" w:rsidRPr="00BA7E03" w:rsidRDefault="00BA7E03" w:rsidP="00DC354D">
      <w:pPr>
        <w:rPr>
          <w:rFonts w:ascii="Calibri" w:hAnsi="Calibri" w:cs="Calibri"/>
          <w:b/>
          <w:bCs/>
        </w:rPr>
      </w:pPr>
    </w:p>
    <w:p w14:paraId="6492D4FE" w14:textId="5F8CC29A" w:rsidR="00BA7E03" w:rsidRPr="00BA7E03" w:rsidRDefault="00BA7E03" w:rsidP="00DC354D">
      <w:pPr>
        <w:rPr>
          <w:rFonts w:ascii="Calibri" w:hAnsi="Calibri" w:cs="Calibri"/>
        </w:rPr>
      </w:pPr>
      <w:r>
        <w:rPr>
          <w:rFonts w:ascii="Calibri" w:hAnsi="Calibri" w:cs="Calibri"/>
        </w:rPr>
        <w:t xml:space="preserve">Link to the proposed rule in the Federal Register: </w:t>
      </w:r>
      <w:hyperlink r:id="rId7" w:history="1">
        <w:r w:rsidRPr="009E0900">
          <w:rPr>
            <w:rStyle w:val="Hyperlink"/>
            <w:rFonts w:ascii="Calibri" w:hAnsi="Calibri" w:cs="Calibri"/>
          </w:rPr>
          <w:t>https://www.federalregister.gov/documents/2022/06/03/2022-10111/community-reinvestment-act</w:t>
        </w:r>
      </w:hyperlink>
      <w:r w:rsidRPr="00BA7E03">
        <w:rPr>
          <w:rFonts w:ascii="Calibri" w:hAnsi="Calibri" w:cs="Calibri"/>
        </w:rPr>
        <w:t xml:space="preserve"> </w:t>
      </w:r>
    </w:p>
    <w:p w14:paraId="6386C50D" w14:textId="1BBAC076" w:rsidR="00BA7E03" w:rsidRPr="00BA7E03" w:rsidRDefault="00BA7E03" w:rsidP="00BA7E03">
      <w:pPr>
        <w:rPr>
          <w:rFonts w:ascii="Calibri" w:hAnsi="Calibri" w:cs="Calibri"/>
        </w:rPr>
      </w:pPr>
    </w:p>
    <w:p w14:paraId="667633E0" w14:textId="39BE9C91" w:rsidR="00BA7E03" w:rsidRPr="00BA7E03" w:rsidRDefault="00BA7E03" w:rsidP="00BA7E03">
      <w:pPr>
        <w:rPr>
          <w:rFonts w:ascii="Calibri" w:hAnsi="Calibri" w:cs="Calibri"/>
        </w:rPr>
      </w:pPr>
      <w:r w:rsidRPr="00BA7E03">
        <w:rPr>
          <w:rFonts w:ascii="Calibri" w:hAnsi="Calibri" w:cs="Calibri"/>
        </w:rPr>
        <w:t>You should deliver your comment letter separately to each of the three regulating agencies.</w:t>
      </w:r>
      <w:r>
        <w:rPr>
          <w:rFonts w:ascii="Calibri" w:hAnsi="Calibri" w:cs="Calibri"/>
        </w:rPr>
        <w:t xml:space="preserve"> </w:t>
      </w:r>
      <w:r w:rsidRPr="00BA7E03">
        <w:rPr>
          <w:rFonts w:ascii="Calibri" w:hAnsi="Calibri" w:cs="Calibri"/>
        </w:rPr>
        <w:t>Here’s how</w:t>
      </w:r>
      <w:r>
        <w:rPr>
          <w:rFonts w:ascii="Calibri" w:hAnsi="Calibri" w:cs="Calibri"/>
        </w:rPr>
        <w:t>:</w:t>
      </w:r>
    </w:p>
    <w:p w14:paraId="23F54663" w14:textId="77777777" w:rsidR="00BA7E03" w:rsidRPr="00BA7E03" w:rsidRDefault="00BA7E03" w:rsidP="00BA7E03">
      <w:pPr>
        <w:rPr>
          <w:rFonts w:ascii="Calibri" w:hAnsi="Calibri" w:cs="Calibri"/>
        </w:rPr>
      </w:pPr>
    </w:p>
    <w:p w14:paraId="4442685A" w14:textId="77777777" w:rsidR="00BA7E03" w:rsidRPr="00BA7E03" w:rsidRDefault="00BA7E03" w:rsidP="00BA7E03">
      <w:pPr>
        <w:rPr>
          <w:rFonts w:ascii="Calibri" w:hAnsi="Calibri" w:cs="Calibri"/>
        </w:rPr>
      </w:pPr>
      <w:r w:rsidRPr="00BA7E03">
        <w:rPr>
          <w:rFonts w:ascii="Calibri" w:hAnsi="Calibri" w:cs="Calibri"/>
          <w:b/>
          <w:bCs/>
        </w:rPr>
        <w:t>OCC:</w:t>
      </w:r>
      <w:r w:rsidRPr="00BA7E03">
        <w:rPr>
          <w:rFonts w:ascii="Calibri" w:hAnsi="Calibri" w:cs="Calibri"/>
        </w:rPr>
        <w:br/>
        <w:t>Go to this link: </w:t>
      </w:r>
      <w:hyperlink r:id="rId8" w:tgtFrame="_blank" w:history="1">
        <w:r w:rsidRPr="00BA7E03">
          <w:rPr>
            <w:rStyle w:val="Hyperlink"/>
            <w:rFonts w:ascii="Calibri" w:hAnsi="Calibri" w:cs="Calibri"/>
          </w:rPr>
          <w:t>https://www.regulations.gov/commenton/OCC-2022-0002-0001</w:t>
        </w:r>
      </w:hyperlink>
      <w:r w:rsidRPr="00BA7E03">
        <w:rPr>
          <w:rFonts w:ascii="Calibri" w:hAnsi="Calibri" w:cs="Calibri"/>
        </w:rPr>
        <w:t>. After clicking on this link, the user will see a form and can either type in comments directly and/or upload a file. </w:t>
      </w:r>
    </w:p>
    <w:p w14:paraId="42AA1C5D" w14:textId="77777777" w:rsidR="00BA7E03" w:rsidRPr="00BA7E03" w:rsidRDefault="00BA7E03" w:rsidP="00BA7E03">
      <w:pPr>
        <w:rPr>
          <w:rFonts w:ascii="Calibri" w:hAnsi="Calibri" w:cs="Calibri"/>
        </w:rPr>
      </w:pPr>
      <w:r w:rsidRPr="00BA7E03">
        <w:rPr>
          <w:rFonts w:ascii="Calibri" w:hAnsi="Calibri" w:cs="Calibri"/>
        </w:rPr>
        <w:br/>
      </w:r>
      <w:r w:rsidRPr="00BA7E03">
        <w:rPr>
          <w:rFonts w:ascii="Calibri" w:hAnsi="Calibri" w:cs="Calibri"/>
          <w:b/>
          <w:bCs/>
        </w:rPr>
        <w:t>FDIC:</w:t>
      </w:r>
      <w:r w:rsidRPr="00BA7E03">
        <w:rPr>
          <w:rFonts w:ascii="Calibri" w:hAnsi="Calibri" w:cs="Calibri"/>
        </w:rPr>
        <w:br/>
        <w:t>Email: </w:t>
      </w:r>
      <w:hyperlink r:id="rId9" w:history="1">
        <w:r w:rsidRPr="00BA7E03">
          <w:rPr>
            <w:rStyle w:val="Hyperlink"/>
            <w:rFonts w:ascii="Calibri" w:hAnsi="Calibri" w:cs="Calibri"/>
          </w:rPr>
          <w:t>comments@fdic.gov</w:t>
        </w:r>
      </w:hyperlink>
      <w:r w:rsidRPr="00BA7E03">
        <w:rPr>
          <w:rFonts w:ascii="Calibri" w:hAnsi="Calibri" w:cs="Calibri"/>
        </w:rPr>
        <w:t>. Include RIN 3064-AF81 on the subject line of the message. </w:t>
      </w:r>
    </w:p>
    <w:p w14:paraId="130EE332" w14:textId="77777777" w:rsidR="00BA7E03" w:rsidRPr="00BA7E03" w:rsidRDefault="00BA7E03" w:rsidP="00BA7E03">
      <w:pPr>
        <w:rPr>
          <w:rFonts w:ascii="Calibri" w:hAnsi="Calibri" w:cs="Calibri"/>
        </w:rPr>
      </w:pPr>
      <w:r w:rsidRPr="00BA7E03">
        <w:rPr>
          <w:rFonts w:ascii="Calibri" w:hAnsi="Calibri" w:cs="Calibri"/>
        </w:rPr>
        <w:br/>
      </w:r>
      <w:r w:rsidRPr="00BA7E03">
        <w:rPr>
          <w:rFonts w:ascii="Calibri" w:hAnsi="Calibri" w:cs="Calibri"/>
          <w:b/>
          <w:bCs/>
        </w:rPr>
        <w:t>Federal Reserve Board:</w:t>
      </w:r>
      <w:r w:rsidRPr="00BA7E03">
        <w:rPr>
          <w:rFonts w:ascii="Calibri" w:hAnsi="Calibri" w:cs="Calibri"/>
        </w:rPr>
        <w:br/>
        <w:t>Email: </w:t>
      </w:r>
      <w:hyperlink r:id="rId10" w:history="1">
        <w:r w:rsidRPr="00BA7E03">
          <w:rPr>
            <w:rStyle w:val="Hyperlink"/>
            <w:rFonts w:ascii="Calibri" w:hAnsi="Calibri" w:cs="Calibri"/>
          </w:rPr>
          <w:t>regs.comments@federalreserve.gov</w:t>
        </w:r>
      </w:hyperlink>
      <w:r w:rsidRPr="00BA7E03">
        <w:rPr>
          <w:rFonts w:ascii="Calibri" w:hAnsi="Calibri" w:cs="Calibri"/>
        </w:rPr>
        <w:t>. Include docket and RIN numbers (Docket No. R-1769 and RIN 7100-AG29) in the subject line of the message.</w:t>
      </w:r>
    </w:p>
    <w:p w14:paraId="1C1740C5" w14:textId="431C78BE" w:rsidR="00BA7E03" w:rsidRPr="00BA7E03" w:rsidRDefault="00BA7E03" w:rsidP="00BA7E03">
      <w:pPr>
        <w:rPr>
          <w:rFonts w:ascii="Calibri" w:hAnsi="Calibri" w:cs="Calibri"/>
        </w:rPr>
      </w:pPr>
    </w:p>
    <w:p w14:paraId="3650ED30" w14:textId="59A80DF2" w:rsidR="00BA7E03" w:rsidRPr="00BA7E03" w:rsidRDefault="00BA7E03" w:rsidP="00BA7E03">
      <w:pPr>
        <w:rPr>
          <w:rFonts w:ascii="Calibri" w:hAnsi="Calibri" w:cs="Calibri"/>
        </w:rPr>
      </w:pPr>
    </w:p>
    <w:p w14:paraId="5A1C3C34" w14:textId="0D3E7A8F" w:rsidR="0065267B" w:rsidRDefault="0065267B" w:rsidP="003443BE">
      <w:pPr>
        <w:rPr>
          <w:rFonts w:ascii="Calibri" w:hAnsi="Calibri" w:cs="Calibri"/>
          <w:b/>
          <w:bCs/>
          <w:highlight w:val="yellow"/>
        </w:rPr>
      </w:pPr>
      <w:r>
        <w:rPr>
          <w:rFonts w:ascii="Calibri" w:hAnsi="Calibri" w:cs="Calibri"/>
          <w:b/>
          <w:bCs/>
        </w:rPr>
        <w:lastRenderedPageBreak/>
        <w:t xml:space="preserve">SHORT FORM SAMPLE LETTER </w:t>
      </w:r>
    </w:p>
    <w:p w14:paraId="608E2F8D" w14:textId="77777777" w:rsidR="0065267B" w:rsidRDefault="0065267B" w:rsidP="003443BE">
      <w:pPr>
        <w:rPr>
          <w:rFonts w:ascii="Calibri" w:hAnsi="Calibri" w:cs="Calibri"/>
          <w:b/>
          <w:bCs/>
          <w:highlight w:val="yellow"/>
        </w:rPr>
      </w:pPr>
    </w:p>
    <w:p w14:paraId="40574044" w14:textId="083E7EAC" w:rsidR="003443BE" w:rsidRPr="003443BE" w:rsidRDefault="00347B21" w:rsidP="003443BE">
      <w:pPr>
        <w:rPr>
          <w:rFonts w:ascii="Calibri" w:hAnsi="Calibri" w:cs="Calibri"/>
          <w:b/>
          <w:bCs/>
        </w:rPr>
      </w:pPr>
      <w:r>
        <w:rPr>
          <w:rFonts w:ascii="Calibri" w:hAnsi="Calibri" w:cs="Calibri"/>
          <w:b/>
          <w:bCs/>
          <w:highlight w:val="yellow"/>
        </w:rPr>
        <w:t>August 5</w:t>
      </w:r>
      <w:r w:rsidR="003443BE" w:rsidRPr="00347B21">
        <w:rPr>
          <w:rFonts w:ascii="Calibri" w:hAnsi="Calibri" w:cs="Calibri"/>
          <w:b/>
          <w:bCs/>
          <w:highlight w:val="yellow"/>
        </w:rPr>
        <w:t>, 2022</w:t>
      </w:r>
    </w:p>
    <w:p w14:paraId="6E4954CE" w14:textId="77777777" w:rsidR="003443BE" w:rsidRPr="003443BE" w:rsidRDefault="003443BE" w:rsidP="003443BE">
      <w:pPr>
        <w:rPr>
          <w:rFonts w:ascii="Calibri" w:hAnsi="Calibri" w:cs="Calibri"/>
          <w:b/>
          <w:bCs/>
        </w:rPr>
      </w:pPr>
    </w:p>
    <w:p w14:paraId="0E475674" w14:textId="77777777" w:rsidR="003443BE" w:rsidRPr="003443BE" w:rsidRDefault="003443BE" w:rsidP="003443BE">
      <w:pPr>
        <w:rPr>
          <w:rFonts w:ascii="Calibri" w:hAnsi="Calibri" w:cs="Calibri"/>
        </w:rPr>
      </w:pPr>
      <w:r w:rsidRPr="003443BE">
        <w:rPr>
          <w:rFonts w:ascii="Calibri" w:hAnsi="Calibri" w:cs="Calibri"/>
          <w:b/>
          <w:bCs/>
        </w:rPr>
        <w:t>To</w:t>
      </w:r>
      <w:r w:rsidRPr="003443BE">
        <w:rPr>
          <w:rFonts w:ascii="Calibri" w:hAnsi="Calibri" w:cs="Calibri"/>
        </w:rPr>
        <w:t>:</w:t>
      </w:r>
    </w:p>
    <w:p w14:paraId="61CC5E1B" w14:textId="12C67198" w:rsidR="003443BE" w:rsidRPr="003443BE" w:rsidRDefault="003443BE" w:rsidP="003443BE">
      <w:pPr>
        <w:rPr>
          <w:rFonts w:ascii="Calibri" w:hAnsi="Calibri" w:cs="Calibri"/>
        </w:rPr>
      </w:pPr>
      <w:r w:rsidRPr="003443BE">
        <w:rPr>
          <w:rFonts w:ascii="Calibri" w:hAnsi="Calibri" w:cs="Calibri"/>
        </w:rPr>
        <w:t>Federal Reserve Board of Governors, Docket No. R-1769 and RIN 7100-AG29</w:t>
      </w:r>
    </w:p>
    <w:p w14:paraId="2029B17C" w14:textId="1B6EE483" w:rsidR="003443BE" w:rsidRPr="003443BE" w:rsidRDefault="003443BE" w:rsidP="003443BE">
      <w:pPr>
        <w:rPr>
          <w:rFonts w:ascii="Calibri" w:hAnsi="Calibri" w:cs="Calibri"/>
        </w:rPr>
      </w:pPr>
      <w:r w:rsidRPr="003443BE">
        <w:rPr>
          <w:rFonts w:ascii="Calibri" w:hAnsi="Calibri" w:cs="Calibri"/>
        </w:rPr>
        <w:t>Federal Deposit Insurance Corporation, RIN 3064-AF81</w:t>
      </w:r>
    </w:p>
    <w:p w14:paraId="08413150" w14:textId="4DAAF0E3" w:rsidR="003443BE" w:rsidRPr="003443BE" w:rsidRDefault="003443BE" w:rsidP="003443BE">
      <w:pPr>
        <w:rPr>
          <w:rFonts w:ascii="Calibri" w:hAnsi="Calibri" w:cs="Calibri"/>
        </w:rPr>
      </w:pPr>
      <w:r w:rsidRPr="003443BE">
        <w:rPr>
          <w:rFonts w:ascii="Calibri" w:hAnsi="Calibri" w:cs="Calibri"/>
        </w:rPr>
        <w:t>Office of the Comptroller of the Currency</w:t>
      </w:r>
    </w:p>
    <w:p w14:paraId="784313F6" w14:textId="77777777" w:rsidR="003443BE" w:rsidRPr="003443BE" w:rsidRDefault="003443BE" w:rsidP="003443BE">
      <w:pPr>
        <w:rPr>
          <w:rFonts w:ascii="Calibri" w:hAnsi="Calibri" w:cs="Calibri"/>
        </w:rPr>
      </w:pPr>
    </w:p>
    <w:p w14:paraId="4061C29F" w14:textId="77777777" w:rsidR="003443BE" w:rsidRPr="003443BE" w:rsidRDefault="003443BE" w:rsidP="003443BE">
      <w:pPr>
        <w:rPr>
          <w:rFonts w:ascii="Calibri" w:hAnsi="Calibri" w:cs="Calibri"/>
        </w:rPr>
      </w:pPr>
      <w:r w:rsidRPr="003443BE">
        <w:rPr>
          <w:rFonts w:ascii="Calibri" w:hAnsi="Calibri" w:cs="Calibri"/>
          <w:b/>
          <w:bCs/>
        </w:rPr>
        <w:t>From</w:t>
      </w:r>
      <w:r w:rsidRPr="003443BE">
        <w:rPr>
          <w:rFonts w:ascii="Calibri" w:hAnsi="Calibri" w:cs="Calibri"/>
        </w:rPr>
        <w:t>:</w:t>
      </w:r>
    </w:p>
    <w:p w14:paraId="687303F7" w14:textId="50848C5F" w:rsidR="003443BE" w:rsidRPr="003443BE" w:rsidRDefault="0065267B" w:rsidP="003443BE">
      <w:pPr>
        <w:rPr>
          <w:rFonts w:ascii="Calibri" w:hAnsi="Calibri" w:cs="Calibri"/>
        </w:rPr>
      </w:pPr>
      <w:r w:rsidRPr="0065267B">
        <w:rPr>
          <w:rFonts w:ascii="Calibri" w:hAnsi="Calibri" w:cs="Calibri"/>
          <w:highlight w:val="yellow"/>
        </w:rPr>
        <w:t>[Your organization name, address, and contact information]</w:t>
      </w:r>
    </w:p>
    <w:p w14:paraId="1F6C0043" w14:textId="77777777" w:rsidR="003443BE" w:rsidRPr="003443BE" w:rsidRDefault="003443BE" w:rsidP="003443BE">
      <w:pPr>
        <w:rPr>
          <w:rFonts w:ascii="Calibri" w:hAnsi="Calibri" w:cs="Calibri"/>
        </w:rPr>
      </w:pPr>
    </w:p>
    <w:p w14:paraId="6E75422D" w14:textId="0EE850AA" w:rsidR="003443BE" w:rsidRPr="003443BE" w:rsidRDefault="003443BE" w:rsidP="003443BE">
      <w:pPr>
        <w:rPr>
          <w:rFonts w:ascii="Calibri" w:hAnsi="Calibri" w:cs="Calibri"/>
        </w:rPr>
      </w:pPr>
      <w:r w:rsidRPr="003443BE">
        <w:rPr>
          <w:rFonts w:ascii="Calibri" w:hAnsi="Calibri" w:cs="Calibri"/>
        </w:rPr>
        <w:t xml:space="preserve">Re: </w:t>
      </w:r>
      <w:r>
        <w:rPr>
          <w:rFonts w:ascii="Calibri" w:hAnsi="Calibri" w:cs="Calibri"/>
        </w:rPr>
        <w:t>R</w:t>
      </w:r>
      <w:r w:rsidRPr="003443BE">
        <w:rPr>
          <w:rFonts w:ascii="Calibri" w:hAnsi="Calibri" w:cs="Calibri"/>
        </w:rPr>
        <w:t>egulations implementing the Community Reinvestment Act of 1977 (CRA)</w:t>
      </w:r>
      <w:r>
        <w:rPr>
          <w:rFonts w:ascii="Calibri" w:hAnsi="Calibri" w:cs="Calibri"/>
        </w:rPr>
        <w:t xml:space="preserve">, </w:t>
      </w:r>
    </w:p>
    <w:p w14:paraId="62D24B3D" w14:textId="2378A0F3" w:rsidR="003443BE" w:rsidRPr="003443BE" w:rsidRDefault="003443BE" w:rsidP="003443BE">
      <w:pPr>
        <w:rPr>
          <w:rFonts w:ascii="Calibri" w:hAnsi="Calibri" w:cs="Calibri"/>
        </w:rPr>
      </w:pPr>
      <w:r w:rsidRPr="003443BE">
        <w:rPr>
          <w:rFonts w:ascii="Calibri" w:hAnsi="Calibri" w:cs="Calibri"/>
        </w:rPr>
        <w:t>Federal Reserve Board of Governors, Docket No. R-1769 and RIN 7100-AG29 and FDIC RIN 3064-AF81</w:t>
      </w:r>
    </w:p>
    <w:p w14:paraId="0D52C28A" w14:textId="2B3E768F" w:rsidR="003443BE" w:rsidRPr="003443BE" w:rsidRDefault="003443BE" w:rsidP="003443BE">
      <w:pPr>
        <w:rPr>
          <w:rFonts w:ascii="Calibri" w:hAnsi="Calibri" w:cs="Calibri"/>
        </w:rPr>
      </w:pPr>
    </w:p>
    <w:p w14:paraId="3AFDE473" w14:textId="77777777" w:rsidR="003443BE" w:rsidRPr="003443BE" w:rsidRDefault="003443BE" w:rsidP="003443BE">
      <w:pPr>
        <w:rPr>
          <w:rFonts w:ascii="Calibri" w:hAnsi="Calibri" w:cs="Calibri"/>
        </w:rPr>
      </w:pPr>
      <w:r w:rsidRPr="003443BE">
        <w:rPr>
          <w:rFonts w:ascii="Calibri" w:hAnsi="Calibri" w:cs="Calibri"/>
        </w:rPr>
        <w:t>--------------------------------------------</w:t>
      </w:r>
    </w:p>
    <w:p w14:paraId="3931F216" w14:textId="77777777" w:rsidR="003443BE" w:rsidRPr="003443BE" w:rsidRDefault="003443BE" w:rsidP="003443BE">
      <w:pPr>
        <w:rPr>
          <w:rFonts w:ascii="Calibri" w:hAnsi="Calibri" w:cs="Calibri"/>
        </w:rPr>
      </w:pPr>
    </w:p>
    <w:p w14:paraId="5262AB6E" w14:textId="6673B95A" w:rsidR="002E1034" w:rsidRPr="002E1034" w:rsidRDefault="0065267B" w:rsidP="002E1034">
      <w:pPr>
        <w:rPr>
          <w:rFonts w:ascii="Calibri" w:hAnsi="Calibri" w:cs="Calibri"/>
        </w:rPr>
      </w:pPr>
      <w:r w:rsidRPr="0065267B">
        <w:rPr>
          <w:rFonts w:ascii="Calibri" w:hAnsi="Calibri" w:cs="Calibri"/>
          <w:highlight w:val="yellow"/>
        </w:rPr>
        <w:t>[Your organization]</w:t>
      </w:r>
      <w:r w:rsidR="003443BE" w:rsidRPr="003443BE">
        <w:rPr>
          <w:rFonts w:ascii="Calibri" w:hAnsi="Calibri" w:cs="Calibri"/>
        </w:rPr>
        <w:t xml:space="preserve"> appreciates the opportunity to comment on the N</w:t>
      </w:r>
      <w:r w:rsidR="003443BE">
        <w:rPr>
          <w:rFonts w:ascii="Calibri" w:hAnsi="Calibri" w:cs="Calibri"/>
        </w:rPr>
        <w:t xml:space="preserve">otice of Proposed Rulemaking </w:t>
      </w:r>
      <w:r w:rsidR="003443BE" w:rsidRPr="003443BE">
        <w:rPr>
          <w:rFonts w:ascii="Calibri" w:hAnsi="Calibri" w:cs="Calibri"/>
        </w:rPr>
        <w:t xml:space="preserve">for the Community Reinvestment Act. In </w:t>
      </w:r>
      <w:r w:rsidR="002E1034">
        <w:rPr>
          <w:rFonts w:ascii="Calibri" w:hAnsi="Calibri" w:cs="Calibri"/>
        </w:rPr>
        <w:t>summary</w:t>
      </w:r>
      <w:r w:rsidR="003443BE" w:rsidRPr="003443BE">
        <w:rPr>
          <w:rFonts w:ascii="Calibri" w:hAnsi="Calibri" w:cs="Calibri"/>
        </w:rPr>
        <w:t xml:space="preserve">, </w:t>
      </w:r>
      <w:r w:rsidR="002E1034">
        <w:rPr>
          <w:rFonts w:ascii="Calibri" w:hAnsi="Calibri" w:cs="Calibri"/>
        </w:rPr>
        <w:t>t</w:t>
      </w:r>
      <w:r w:rsidR="002E1034" w:rsidRPr="002E1034">
        <w:rPr>
          <w:rFonts w:ascii="Calibri" w:hAnsi="Calibri" w:cs="Calibri"/>
        </w:rPr>
        <w:t>he proposed rule is a marked improvement over the status quo. However, it’s far from ambitious.</w:t>
      </w:r>
    </w:p>
    <w:p w14:paraId="4AE00C7A" w14:textId="77777777" w:rsidR="002E1034" w:rsidRPr="002E1034" w:rsidRDefault="002E1034" w:rsidP="002E1034">
      <w:pPr>
        <w:rPr>
          <w:rFonts w:ascii="Calibri" w:hAnsi="Calibri" w:cs="Calibri"/>
        </w:rPr>
      </w:pPr>
    </w:p>
    <w:p w14:paraId="4690BDC7" w14:textId="53BA9E47" w:rsidR="0065267B" w:rsidRDefault="00242EF7" w:rsidP="003443BE">
      <w:pPr>
        <w:rPr>
          <w:rFonts w:ascii="Calibri" w:hAnsi="Calibri" w:cs="Calibri"/>
        </w:rPr>
      </w:pPr>
      <w:r w:rsidRPr="00242EF7">
        <w:rPr>
          <w:rFonts w:ascii="Calibri" w:hAnsi="Calibri" w:cs="Calibri"/>
          <w:highlight w:val="yellow"/>
        </w:rPr>
        <w:t>[Offer a paragraph about your organization, its mission, accomplishments, and a description of the community you serve.]</w:t>
      </w:r>
    </w:p>
    <w:p w14:paraId="18025710" w14:textId="77777777" w:rsidR="0065267B" w:rsidRDefault="0065267B" w:rsidP="003443BE">
      <w:pPr>
        <w:rPr>
          <w:rFonts w:ascii="Calibri" w:hAnsi="Calibri" w:cs="Calibri"/>
        </w:rPr>
      </w:pPr>
    </w:p>
    <w:p w14:paraId="4C20F575" w14:textId="33E38D4C" w:rsidR="003443BE" w:rsidRPr="003443BE" w:rsidRDefault="003443BE" w:rsidP="003443BE">
      <w:pPr>
        <w:rPr>
          <w:rFonts w:ascii="Calibri" w:hAnsi="Calibri" w:cs="Calibri"/>
        </w:rPr>
      </w:pPr>
      <w:r w:rsidRPr="003443BE">
        <w:rPr>
          <w:rFonts w:ascii="Calibri" w:hAnsi="Calibri" w:cs="Calibri"/>
        </w:rPr>
        <w:t xml:space="preserve">We hope you find </w:t>
      </w:r>
      <w:r w:rsidR="00242EF7">
        <w:rPr>
          <w:rFonts w:ascii="Calibri" w:hAnsi="Calibri" w:cs="Calibri"/>
        </w:rPr>
        <w:t xml:space="preserve">this letter </w:t>
      </w:r>
      <w:r w:rsidRPr="003443BE">
        <w:rPr>
          <w:rFonts w:ascii="Calibri" w:hAnsi="Calibri" w:cs="Calibri"/>
        </w:rPr>
        <w:t>helpful.</w:t>
      </w:r>
    </w:p>
    <w:p w14:paraId="3AD5B656" w14:textId="77777777" w:rsidR="00347B21" w:rsidRDefault="00347B21" w:rsidP="006C4B31">
      <w:pPr>
        <w:rPr>
          <w:rFonts w:ascii="Calibri" w:hAnsi="Calibri" w:cs="Calibri"/>
          <w:b/>
          <w:bCs/>
          <w:u w:val="single"/>
        </w:rPr>
      </w:pPr>
    </w:p>
    <w:p w14:paraId="486AA7DC" w14:textId="3BB05C60" w:rsidR="00157655" w:rsidRPr="003443BE" w:rsidRDefault="0058303A" w:rsidP="006C4B31">
      <w:pPr>
        <w:pStyle w:val="ListParagraph"/>
        <w:numPr>
          <w:ilvl w:val="0"/>
          <w:numId w:val="1"/>
        </w:numPr>
        <w:rPr>
          <w:rFonts w:ascii="Calibri" w:hAnsi="Calibri" w:cs="Calibri"/>
          <w:b/>
          <w:bCs/>
        </w:rPr>
      </w:pPr>
      <w:r w:rsidRPr="003443BE">
        <w:rPr>
          <w:rFonts w:ascii="Calibri" w:hAnsi="Calibri" w:cs="Calibri"/>
          <w:b/>
          <w:bCs/>
        </w:rPr>
        <w:t>The NPR does not go far enough to explicitly consider race and ethnicity of bank customers and communities.</w:t>
      </w:r>
    </w:p>
    <w:p w14:paraId="21822937" w14:textId="1973D975" w:rsidR="00157655" w:rsidRPr="003443BE" w:rsidRDefault="00157655" w:rsidP="00157655">
      <w:pPr>
        <w:ind w:left="360"/>
        <w:rPr>
          <w:rFonts w:ascii="Calibri" w:hAnsi="Calibri" w:cs="Calibri"/>
          <w:b/>
          <w:bCs/>
        </w:rPr>
      </w:pPr>
    </w:p>
    <w:p w14:paraId="0C6A1302" w14:textId="04B99C60" w:rsidR="00157655" w:rsidRDefault="00242EF7" w:rsidP="00157655">
      <w:pPr>
        <w:ind w:left="720"/>
        <w:rPr>
          <w:rFonts w:ascii="Calibri" w:hAnsi="Calibri" w:cs="Calibri"/>
        </w:rPr>
      </w:pPr>
      <w:r>
        <w:rPr>
          <w:rFonts w:ascii="Calibri" w:hAnsi="Calibri" w:cs="Calibri"/>
        </w:rPr>
        <w:t>We were</w:t>
      </w:r>
      <w:r w:rsidR="00157655">
        <w:rPr>
          <w:rFonts w:ascii="Calibri" w:hAnsi="Calibri" w:cs="Calibri"/>
        </w:rPr>
        <w:t xml:space="preserve"> disappointed about the absence and focus on race in the NPR. Regulators dedicated substantial space in the 2021 ANPR inquiring how race can be considered as part of CRA exams. What happened to the responses? Did regulators abandon </w:t>
      </w:r>
      <w:r w:rsidR="000B1B9C">
        <w:rPr>
          <w:rFonts w:ascii="Calibri" w:hAnsi="Calibri" w:cs="Calibri"/>
        </w:rPr>
        <w:t>that path of inquiry? If so, why? What was learned during the ANPR process that caused them to back away? The Community Reinvestment Act was passed in direct response to racism in banking. It’s an issue CRA has never fully addressed, and this NPR represents another major instance in the almost five decades of shortcomings. We ask regulators to please collect data related to race in the retail and community development tests; make that data public; and use it consequentially in CRA exams.</w:t>
      </w:r>
    </w:p>
    <w:p w14:paraId="5B20456B" w14:textId="0013F6B6" w:rsidR="000B1B9C" w:rsidRDefault="000B1B9C" w:rsidP="00157655">
      <w:pPr>
        <w:ind w:left="720"/>
        <w:rPr>
          <w:rFonts w:ascii="Calibri" w:hAnsi="Calibri" w:cs="Calibri"/>
        </w:rPr>
      </w:pPr>
    </w:p>
    <w:p w14:paraId="39A71E3E" w14:textId="77777777" w:rsidR="00B91AB1" w:rsidRDefault="00554416" w:rsidP="00157655">
      <w:pPr>
        <w:ind w:left="720"/>
        <w:rPr>
          <w:rFonts w:ascii="Calibri" w:hAnsi="Calibri" w:cs="Calibri"/>
        </w:rPr>
      </w:pPr>
      <w:r>
        <w:rPr>
          <w:rFonts w:ascii="Calibri" w:hAnsi="Calibri" w:cs="Calibri"/>
        </w:rPr>
        <w:t>Specifically, we ask regulators to</w:t>
      </w:r>
      <w:r w:rsidR="00B91AB1">
        <w:rPr>
          <w:rFonts w:ascii="Calibri" w:hAnsi="Calibri" w:cs="Calibri"/>
        </w:rPr>
        <w:t>:</w:t>
      </w:r>
    </w:p>
    <w:p w14:paraId="17528DE8" w14:textId="77777777" w:rsidR="00B91AB1" w:rsidRDefault="00B91AB1" w:rsidP="00B91AB1">
      <w:pPr>
        <w:pStyle w:val="ListParagraph"/>
        <w:numPr>
          <w:ilvl w:val="0"/>
          <w:numId w:val="2"/>
        </w:numPr>
        <w:rPr>
          <w:rFonts w:ascii="Calibri" w:hAnsi="Calibri" w:cs="Calibri"/>
        </w:rPr>
      </w:pPr>
      <w:r>
        <w:rPr>
          <w:rFonts w:ascii="Calibri" w:hAnsi="Calibri" w:cs="Calibri"/>
        </w:rPr>
        <w:t>A</w:t>
      </w:r>
      <w:r w:rsidR="00554416" w:rsidRPr="00B91AB1">
        <w:rPr>
          <w:rFonts w:ascii="Calibri" w:hAnsi="Calibri" w:cs="Calibri"/>
        </w:rPr>
        <w:t>dd racial data to the list of factors considered when creating assessment areas.</w:t>
      </w:r>
    </w:p>
    <w:p w14:paraId="6F148875" w14:textId="64FB5722" w:rsidR="00B91AB1" w:rsidRDefault="00554416" w:rsidP="00B91AB1">
      <w:pPr>
        <w:pStyle w:val="ListParagraph"/>
        <w:numPr>
          <w:ilvl w:val="0"/>
          <w:numId w:val="2"/>
        </w:numPr>
        <w:rPr>
          <w:rFonts w:ascii="Calibri" w:hAnsi="Calibri" w:cs="Calibri"/>
        </w:rPr>
      </w:pPr>
      <w:r w:rsidRPr="00B91AB1">
        <w:rPr>
          <w:rFonts w:ascii="Calibri" w:hAnsi="Calibri" w:cs="Calibri"/>
        </w:rPr>
        <w:t xml:space="preserve">Compare lending data by race to peer-banks within assessment areas. </w:t>
      </w:r>
    </w:p>
    <w:p w14:paraId="194AA7F1" w14:textId="6D474615" w:rsidR="00B91AB1" w:rsidRDefault="00B91AB1" w:rsidP="00B91AB1">
      <w:pPr>
        <w:pStyle w:val="ListParagraph"/>
        <w:numPr>
          <w:ilvl w:val="0"/>
          <w:numId w:val="2"/>
        </w:numPr>
        <w:rPr>
          <w:rFonts w:ascii="Calibri" w:hAnsi="Calibri" w:cs="Calibri"/>
        </w:rPr>
      </w:pPr>
      <w:r>
        <w:rPr>
          <w:rFonts w:ascii="Calibri" w:hAnsi="Calibri" w:cs="Calibri"/>
        </w:rPr>
        <w:t>Formally incorporate HMDA and 1071 data by race into an examination.</w:t>
      </w:r>
    </w:p>
    <w:p w14:paraId="625891A8" w14:textId="3A5B11D4" w:rsidR="00B91AB1" w:rsidRDefault="00B91AB1" w:rsidP="00B91AB1">
      <w:pPr>
        <w:pStyle w:val="ListParagraph"/>
        <w:numPr>
          <w:ilvl w:val="0"/>
          <w:numId w:val="2"/>
        </w:numPr>
        <w:rPr>
          <w:rFonts w:ascii="Calibri" w:hAnsi="Calibri" w:cs="Calibri"/>
        </w:rPr>
      </w:pPr>
      <w:r>
        <w:rPr>
          <w:rFonts w:ascii="Calibri" w:hAnsi="Calibri" w:cs="Calibri"/>
        </w:rPr>
        <w:lastRenderedPageBreak/>
        <w:t>Severely punish banks that are found to have violated civil rights, fair lending, or fair housing laws.</w:t>
      </w:r>
    </w:p>
    <w:p w14:paraId="52C7CF9A" w14:textId="31D69DFC" w:rsidR="00B91AB1" w:rsidRPr="00B91AB1" w:rsidRDefault="00B91AB1" w:rsidP="00B91AB1">
      <w:pPr>
        <w:pStyle w:val="ListParagraph"/>
        <w:numPr>
          <w:ilvl w:val="0"/>
          <w:numId w:val="2"/>
        </w:numPr>
        <w:rPr>
          <w:rFonts w:ascii="Calibri" w:hAnsi="Calibri" w:cs="Calibri"/>
        </w:rPr>
      </w:pPr>
      <w:r>
        <w:rPr>
          <w:rFonts w:ascii="Calibri" w:hAnsi="Calibri" w:cs="Calibri"/>
        </w:rPr>
        <w:t>Add an impact review factor to the community development finance test that considers investments made in historically redlined communities</w:t>
      </w:r>
      <w:r w:rsidR="001078D2">
        <w:rPr>
          <w:rFonts w:ascii="Calibri" w:hAnsi="Calibri" w:cs="Calibri"/>
        </w:rPr>
        <w:t xml:space="preserve"> and areas </w:t>
      </w:r>
      <w:r w:rsidR="0077224E">
        <w:rPr>
          <w:rFonts w:ascii="Calibri" w:hAnsi="Calibri" w:cs="Calibri"/>
        </w:rPr>
        <w:t xml:space="preserve">in which the residents </w:t>
      </w:r>
      <w:r w:rsidR="001078D2">
        <w:rPr>
          <w:rFonts w:ascii="Calibri" w:hAnsi="Calibri" w:cs="Calibri"/>
        </w:rPr>
        <w:t xml:space="preserve">are predominantly </w:t>
      </w:r>
      <w:r w:rsidR="0077224E">
        <w:rPr>
          <w:rFonts w:ascii="Calibri" w:hAnsi="Calibri" w:cs="Calibri"/>
        </w:rPr>
        <w:t>people of color.</w:t>
      </w:r>
    </w:p>
    <w:p w14:paraId="1EC6640F" w14:textId="02491CA3" w:rsidR="006C4B31" w:rsidRPr="00157655" w:rsidRDefault="006C4B31" w:rsidP="00157655">
      <w:pPr>
        <w:rPr>
          <w:rFonts w:ascii="Calibri" w:hAnsi="Calibri" w:cs="Calibri"/>
          <w:b/>
          <w:bCs/>
        </w:rPr>
      </w:pPr>
    </w:p>
    <w:p w14:paraId="3BF94401" w14:textId="0CE70D32" w:rsidR="006C4B31" w:rsidRPr="000259F9" w:rsidRDefault="0058303A" w:rsidP="000259F9">
      <w:pPr>
        <w:pStyle w:val="ListParagraph"/>
        <w:numPr>
          <w:ilvl w:val="0"/>
          <w:numId w:val="1"/>
        </w:numPr>
        <w:rPr>
          <w:rFonts w:ascii="Calibri" w:hAnsi="Calibri" w:cs="Calibri"/>
          <w:b/>
          <w:bCs/>
        </w:rPr>
      </w:pPr>
      <w:r>
        <w:rPr>
          <w:rFonts w:ascii="Calibri" w:hAnsi="Calibri" w:cs="Calibri"/>
          <w:b/>
          <w:bCs/>
        </w:rPr>
        <w:t>The a</w:t>
      </w:r>
      <w:r w:rsidR="006C4B31">
        <w:rPr>
          <w:rFonts w:ascii="Calibri" w:hAnsi="Calibri" w:cs="Calibri"/>
          <w:b/>
          <w:bCs/>
        </w:rPr>
        <w:t>sset categories</w:t>
      </w:r>
      <w:r>
        <w:rPr>
          <w:rFonts w:ascii="Calibri" w:hAnsi="Calibri" w:cs="Calibri"/>
          <w:b/>
          <w:bCs/>
        </w:rPr>
        <w:t xml:space="preserve"> </w:t>
      </w:r>
      <w:r w:rsidR="009B399B">
        <w:rPr>
          <w:rFonts w:ascii="Calibri" w:hAnsi="Calibri" w:cs="Calibri"/>
          <w:b/>
          <w:bCs/>
        </w:rPr>
        <w:t xml:space="preserve">as </w:t>
      </w:r>
      <w:r>
        <w:rPr>
          <w:rFonts w:ascii="Calibri" w:hAnsi="Calibri" w:cs="Calibri"/>
          <w:b/>
          <w:bCs/>
        </w:rPr>
        <w:t>proposed (large, intermediate, small) will notably reduce community development financing, particularly in rural areas and small cities.</w:t>
      </w:r>
      <w:r w:rsidR="000259F9">
        <w:rPr>
          <w:rFonts w:ascii="Calibri" w:hAnsi="Calibri" w:cs="Calibri"/>
          <w:b/>
          <w:bCs/>
        </w:rPr>
        <w:t xml:space="preserve"> </w:t>
      </w:r>
      <w:r w:rsidR="009B399B" w:rsidRPr="000259F9">
        <w:rPr>
          <w:rFonts w:ascii="Calibri" w:hAnsi="Calibri" w:cs="Calibri"/>
        </w:rPr>
        <w:t>The proposed bank asset sizes move about 900-1000 banks into a lower asset category than they would occupy under the status quo. And regulators have chosen to reduce community development responsibilities for banks in smaller asset categories. Research from NCRC estimates that well over $1b in community development financing could be lost as a result. If that estimate proves to be anywhere close to accurate, it would be a significant failure for the regulating agencies.</w:t>
      </w:r>
      <w:r w:rsidRPr="000259F9">
        <w:rPr>
          <w:rFonts w:ascii="Calibri" w:hAnsi="Calibri" w:cs="Calibri"/>
          <w:b/>
          <w:bCs/>
        </w:rPr>
        <w:br/>
      </w:r>
    </w:p>
    <w:p w14:paraId="0F45F21C" w14:textId="77777777" w:rsidR="00AC7F62" w:rsidRPr="00AC7F62" w:rsidRDefault="0058303A" w:rsidP="006C4B31">
      <w:pPr>
        <w:pStyle w:val="ListParagraph"/>
        <w:numPr>
          <w:ilvl w:val="0"/>
          <w:numId w:val="1"/>
        </w:numPr>
        <w:rPr>
          <w:rFonts w:ascii="Calibri" w:hAnsi="Calibri" w:cs="Calibri"/>
          <w:b/>
          <w:bCs/>
        </w:rPr>
      </w:pPr>
      <w:r>
        <w:rPr>
          <w:rFonts w:ascii="Calibri" w:hAnsi="Calibri" w:cs="Calibri"/>
          <w:b/>
          <w:bCs/>
        </w:rPr>
        <w:t>The newly formed “Retail Lending Assessment Areas” must be subject to a community development test.</w:t>
      </w:r>
      <w:r w:rsidR="009650FE">
        <w:rPr>
          <w:rFonts w:ascii="Calibri" w:hAnsi="Calibri" w:cs="Calibri"/>
          <w:b/>
          <w:bCs/>
        </w:rPr>
        <w:t xml:space="preserve"> </w:t>
      </w:r>
      <w:r w:rsidR="00CB1409">
        <w:rPr>
          <w:rFonts w:ascii="Calibri" w:hAnsi="Calibri" w:cs="Calibri"/>
        </w:rPr>
        <w:t>We strongly urge regulators to reconsider community development responsibilities in RLAAs. The NPR outlines how RLAAs would be formed in entire MSAs or the non-MSA area of a state. Those area sizable chunks of geography for which banks should have some level community development responsibility, even if only a version of the status quo community development test.</w:t>
      </w:r>
    </w:p>
    <w:p w14:paraId="629DEDBB" w14:textId="77777777" w:rsidR="00AC7F62" w:rsidRDefault="00AC7F62" w:rsidP="00AC7F62">
      <w:pPr>
        <w:rPr>
          <w:rFonts w:ascii="Calibri" w:hAnsi="Calibri" w:cs="Calibri"/>
          <w:b/>
          <w:bCs/>
        </w:rPr>
      </w:pPr>
    </w:p>
    <w:p w14:paraId="650D8FA6" w14:textId="14C165A8" w:rsidR="00C84A61" w:rsidRPr="00C84A61" w:rsidRDefault="00AC7F62" w:rsidP="00C84A61">
      <w:pPr>
        <w:pStyle w:val="ListParagraph"/>
        <w:rPr>
          <w:rFonts w:ascii="Calibri" w:hAnsi="Calibri" w:cs="Calibri"/>
        </w:rPr>
      </w:pPr>
      <w:r w:rsidRPr="00C84A61">
        <w:rPr>
          <w:rFonts w:ascii="Calibri" w:hAnsi="Calibri" w:cs="Calibri"/>
        </w:rPr>
        <w:t xml:space="preserve">Relatedly, </w:t>
      </w:r>
      <w:r w:rsidR="00242EF7">
        <w:rPr>
          <w:rFonts w:ascii="Calibri" w:hAnsi="Calibri" w:cs="Calibri"/>
        </w:rPr>
        <w:t>we</w:t>
      </w:r>
      <w:r w:rsidRPr="00C84A61">
        <w:rPr>
          <w:rFonts w:ascii="Calibri" w:hAnsi="Calibri" w:cs="Calibri"/>
        </w:rPr>
        <w:t xml:space="preserve"> </w:t>
      </w:r>
      <w:r w:rsidR="00242EF7">
        <w:rPr>
          <w:rFonts w:ascii="Calibri" w:hAnsi="Calibri" w:cs="Calibri"/>
        </w:rPr>
        <w:t>were</w:t>
      </w:r>
      <w:r w:rsidRPr="00C84A61">
        <w:rPr>
          <w:rFonts w:ascii="Calibri" w:hAnsi="Calibri" w:cs="Calibri"/>
        </w:rPr>
        <w:t xml:space="preserve"> </w:t>
      </w:r>
      <w:r w:rsidR="00C84A61" w:rsidRPr="00C84A61">
        <w:rPr>
          <w:rFonts w:ascii="Calibri" w:hAnsi="Calibri" w:cs="Calibri"/>
        </w:rPr>
        <w:t>disappointed regulators chose not to delineate facility-based assessment areas (FBAAs) around loan production offices</w:t>
      </w:r>
      <w:r w:rsidR="00C84A61">
        <w:rPr>
          <w:rFonts w:ascii="Calibri" w:hAnsi="Calibri" w:cs="Calibri"/>
        </w:rPr>
        <w:t xml:space="preserve"> (LPOs)</w:t>
      </w:r>
      <w:r w:rsidR="00C84A61" w:rsidRPr="00C84A61">
        <w:rPr>
          <w:rFonts w:ascii="Calibri" w:hAnsi="Calibri" w:cs="Calibri"/>
        </w:rPr>
        <w:t>. We ask regulators to reconsider.</w:t>
      </w:r>
    </w:p>
    <w:p w14:paraId="64BE9141" w14:textId="77777777" w:rsidR="00C84A61" w:rsidRPr="00C84A61" w:rsidRDefault="00C84A61" w:rsidP="00C84A61">
      <w:pPr>
        <w:pStyle w:val="ListParagraph"/>
        <w:rPr>
          <w:rFonts w:ascii="Calibri" w:hAnsi="Calibri" w:cs="Calibri"/>
        </w:rPr>
      </w:pPr>
    </w:p>
    <w:p w14:paraId="07DB1B67" w14:textId="3C63F8F5" w:rsidR="00347B21" w:rsidRDefault="00C84A61" w:rsidP="00C84A61">
      <w:pPr>
        <w:pStyle w:val="ListParagraph"/>
        <w:rPr>
          <w:rFonts w:ascii="Calibri" w:hAnsi="Calibri" w:cs="Calibri"/>
        </w:rPr>
      </w:pPr>
      <w:r w:rsidRPr="00C84A61">
        <w:rPr>
          <w:rFonts w:ascii="Calibri" w:hAnsi="Calibri" w:cs="Calibri"/>
        </w:rPr>
        <w:t xml:space="preserve">However, if regulators choose not to delineate </w:t>
      </w:r>
      <w:r>
        <w:rPr>
          <w:rFonts w:ascii="Calibri" w:hAnsi="Calibri" w:cs="Calibri"/>
        </w:rPr>
        <w:t xml:space="preserve">FBAAs around loan production offices, </w:t>
      </w:r>
      <w:r w:rsidR="00242EF7">
        <w:rPr>
          <w:rFonts w:ascii="Calibri" w:hAnsi="Calibri" w:cs="Calibri"/>
        </w:rPr>
        <w:t>we</w:t>
      </w:r>
      <w:r>
        <w:rPr>
          <w:rFonts w:ascii="Calibri" w:hAnsi="Calibri" w:cs="Calibri"/>
        </w:rPr>
        <w:t xml:space="preserve"> maintain that </w:t>
      </w:r>
      <w:r w:rsidRPr="00C84A61">
        <w:rPr>
          <w:rFonts w:ascii="Calibri" w:hAnsi="Calibri" w:cs="Calibri"/>
        </w:rPr>
        <w:t>l</w:t>
      </w:r>
      <w:r w:rsidR="00AC7F62" w:rsidRPr="00C84A61">
        <w:rPr>
          <w:rFonts w:ascii="Calibri" w:hAnsi="Calibri" w:cs="Calibri"/>
        </w:rPr>
        <w:t>oan production offices</w:t>
      </w:r>
      <w:r>
        <w:rPr>
          <w:rFonts w:ascii="Calibri" w:hAnsi="Calibri" w:cs="Calibri"/>
        </w:rPr>
        <w:t xml:space="preserve"> </w:t>
      </w:r>
      <w:r w:rsidR="00AC7F62" w:rsidRPr="00C84A61">
        <w:rPr>
          <w:rFonts w:ascii="Calibri" w:hAnsi="Calibri" w:cs="Calibri"/>
        </w:rPr>
        <w:t>should automatically trigger at least one retail lending assessment area, which</w:t>
      </w:r>
      <w:r w:rsidR="00242EF7">
        <w:rPr>
          <w:rFonts w:ascii="Calibri" w:hAnsi="Calibri" w:cs="Calibri"/>
        </w:rPr>
        <w:t xml:space="preserve"> should also</w:t>
      </w:r>
      <w:r w:rsidR="00AC7F62" w:rsidRPr="00C84A61">
        <w:rPr>
          <w:rFonts w:ascii="Calibri" w:hAnsi="Calibri" w:cs="Calibri"/>
        </w:rPr>
        <w:t xml:space="preserve"> include a require</w:t>
      </w:r>
      <w:r>
        <w:rPr>
          <w:rFonts w:ascii="Calibri" w:hAnsi="Calibri" w:cs="Calibri"/>
        </w:rPr>
        <w:t>d</w:t>
      </w:r>
      <w:r w:rsidR="00AC7F62" w:rsidRPr="00C84A61">
        <w:rPr>
          <w:rFonts w:ascii="Calibri" w:hAnsi="Calibri" w:cs="Calibri"/>
        </w:rPr>
        <w:t xml:space="preserve"> community development test. </w:t>
      </w:r>
      <w:r>
        <w:rPr>
          <w:rFonts w:ascii="Calibri" w:hAnsi="Calibri" w:cs="Calibri"/>
        </w:rPr>
        <w:t>LPOs are too often the only lending or banking-related presence in rural areas and small towns. The NPR gives banks the option to claim credit for banking services provided at their LPOs. Responsibilities should come with that opportunity.</w:t>
      </w:r>
    </w:p>
    <w:p w14:paraId="31A25D85" w14:textId="3CEA8E4F" w:rsidR="00E24F18" w:rsidRDefault="00E24F18" w:rsidP="00C84A61">
      <w:pPr>
        <w:pStyle w:val="ListParagraph"/>
        <w:rPr>
          <w:rFonts w:ascii="Calibri" w:hAnsi="Calibri" w:cs="Calibri"/>
        </w:rPr>
      </w:pPr>
    </w:p>
    <w:p w14:paraId="0D62421F" w14:textId="1AC13ABB" w:rsidR="00E24F18" w:rsidRDefault="00E24F18" w:rsidP="00E24F18">
      <w:pPr>
        <w:pStyle w:val="ListParagraph"/>
        <w:numPr>
          <w:ilvl w:val="0"/>
          <w:numId w:val="1"/>
        </w:numPr>
        <w:rPr>
          <w:rFonts w:ascii="Calibri" w:hAnsi="Calibri" w:cs="Calibri"/>
        </w:rPr>
      </w:pPr>
      <w:r>
        <w:rPr>
          <w:rFonts w:ascii="Calibri" w:hAnsi="Calibri" w:cs="Calibri"/>
          <w:b/>
          <w:bCs/>
        </w:rPr>
        <w:t xml:space="preserve">Regulators should give more consideration and acknowledgement to banks that utilize effective, </w:t>
      </w:r>
      <w:r w:rsidR="007A21F7">
        <w:rPr>
          <w:rFonts w:ascii="Calibri" w:hAnsi="Calibri" w:cs="Calibri"/>
          <w:b/>
          <w:bCs/>
        </w:rPr>
        <w:t>creative,</w:t>
      </w:r>
      <w:r>
        <w:rPr>
          <w:rFonts w:ascii="Calibri" w:hAnsi="Calibri" w:cs="Calibri"/>
          <w:b/>
          <w:bCs/>
        </w:rPr>
        <w:t xml:space="preserve"> and exemplary local community engagement strategies. </w:t>
      </w:r>
      <w:r>
        <w:rPr>
          <w:rFonts w:ascii="Calibri" w:hAnsi="Calibri" w:cs="Calibri"/>
        </w:rPr>
        <w:t>In past CRA commenting opportunities</w:t>
      </w:r>
      <w:r w:rsidR="007A21F7">
        <w:rPr>
          <w:rFonts w:ascii="Calibri" w:hAnsi="Calibri" w:cs="Calibri"/>
        </w:rPr>
        <w:t>,</w:t>
      </w:r>
      <w:r>
        <w:rPr>
          <w:rFonts w:ascii="Calibri" w:hAnsi="Calibri" w:cs="Calibri"/>
        </w:rPr>
        <w:t xml:space="preserve"> </w:t>
      </w:r>
      <w:r w:rsidR="00242EF7">
        <w:rPr>
          <w:rFonts w:ascii="Calibri" w:hAnsi="Calibri" w:cs="Calibri"/>
        </w:rPr>
        <w:t>national advocates have</w:t>
      </w:r>
      <w:r>
        <w:rPr>
          <w:rFonts w:ascii="Calibri" w:hAnsi="Calibri" w:cs="Calibri"/>
        </w:rPr>
        <w:t xml:space="preserve"> been very critical of how little attention regulating agencies have paid to </w:t>
      </w:r>
      <w:r w:rsidR="007A21F7">
        <w:rPr>
          <w:rFonts w:ascii="Calibri" w:hAnsi="Calibri" w:cs="Calibri"/>
        </w:rPr>
        <w:t xml:space="preserve">local community engagement strategies banks employ to identify community needs in LMI areas. We maintain that criticism and offer a potential solution that fits within the framework offered by the NPR. </w:t>
      </w:r>
      <w:r w:rsidR="00242EF7">
        <w:rPr>
          <w:rFonts w:ascii="Calibri" w:hAnsi="Calibri" w:cs="Calibri"/>
        </w:rPr>
        <w:t>We</w:t>
      </w:r>
      <w:r w:rsidR="007A21F7">
        <w:rPr>
          <w:rFonts w:ascii="Calibri" w:hAnsi="Calibri" w:cs="Calibri"/>
        </w:rPr>
        <w:t xml:space="preserve"> propose that exemplary community engagement strategies in LMI areas be recognized as a standalone impact review factor when regulators are considering CRA credit for an eligible community development activity.</w:t>
      </w:r>
    </w:p>
    <w:p w14:paraId="1A0DC66B" w14:textId="77777777" w:rsidR="001118C6" w:rsidRDefault="001118C6" w:rsidP="001118C6">
      <w:pPr>
        <w:autoSpaceDE w:val="0"/>
        <w:autoSpaceDN w:val="0"/>
        <w:adjustRightInd w:val="0"/>
        <w:rPr>
          <w:rFonts w:ascii="Calibri" w:hAnsi="Calibri" w:cs="Calibri"/>
          <w:b/>
          <w:bCs/>
        </w:rPr>
      </w:pPr>
    </w:p>
    <w:p w14:paraId="64B2A8D0" w14:textId="2A8C6F50" w:rsidR="006C4B31" w:rsidRDefault="001118C6" w:rsidP="00F10CAC">
      <w:pPr>
        <w:pStyle w:val="ListParagraph"/>
        <w:numPr>
          <w:ilvl w:val="0"/>
          <w:numId w:val="1"/>
        </w:numPr>
        <w:rPr>
          <w:rFonts w:ascii="_ΩÊu'3" w:hAnsi="_ΩÊu'3" w:cs="_ΩÊu'3"/>
        </w:rPr>
      </w:pPr>
      <w:r>
        <w:rPr>
          <w:rFonts w:ascii="Calibri" w:hAnsi="Calibri" w:cs="Calibri"/>
          <w:b/>
          <w:bCs/>
        </w:rPr>
        <w:lastRenderedPageBreak/>
        <w:t xml:space="preserve">We encourage regulators to begin thinking </w:t>
      </w:r>
      <w:r>
        <w:rPr>
          <w:rFonts w:ascii="Calibri" w:hAnsi="Calibri" w:cs="Calibri"/>
          <w:b/>
          <w:bCs/>
          <w:i/>
          <w:iCs/>
        </w:rPr>
        <w:t>now</w:t>
      </w:r>
      <w:r>
        <w:rPr>
          <w:rFonts w:ascii="Calibri" w:hAnsi="Calibri" w:cs="Calibri"/>
          <w:b/>
          <w:bCs/>
        </w:rPr>
        <w:t xml:space="preserve"> about how to roll out a new rule to stakeholders, in addition to banks. </w:t>
      </w:r>
      <w:r>
        <w:rPr>
          <w:rFonts w:ascii="Calibri" w:hAnsi="Calibri" w:cs="Calibri"/>
        </w:rPr>
        <w:t xml:space="preserve">Few people in the community development field remember how the last set of CRA changes were implemented over 25 years ago. Regulators must make a significant effort to reach </w:t>
      </w:r>
      <w:proofErr w:type="gramStart"/>
      <w:r>
        <w:rPr>
          <w:rFonts w:ascii="Calibri" w:hAnsi="Calibri" w:cs="Calibri"/>
        </w:rPr>
        <w:t>community based</w:t>
      </w:r>
      <w:proofErr w:type="gramEnd"/>
      <w:r>
        <w:rPr>
          <w:rFonts w:ascii="Calibri" w:hAnsi="Calibri" w:cs="Calibri"/>
        </w:rPr>
        <w:t xml:space="preserve"> development nonprofit organizations </w:t>
      </w:r>
      <w:r w:rsidR="00242EF7">
        <w:rPr>
          <w:rFonts w:ascii="Calibri" w:hAnsi="Calibri" w:cs="Calibri"/>
        </w:rPr>
        <w:t xml:space="preserve">and </w:t>
      </w:r>
      <w:r>
        <w:rPr>
          <w:rFonts w:ascii="Calibri" w:hAnsi="Calibri" w:cs="Calibri"/>
        </w:rPr>
        <w:t>other stakeholders. The Federal Reserve Bank System, for example, h</w:t>
      </w:r>
      <w:r w:rsidR="00242EF7">
        <w:rPr>
          <w:rFonts w:ascii="Calibri" w:hAnsi="Calibri" w:cs="Calibri"/>
        </w:rPr>
        <w:t>as</w:t>
      </w:r>
      <w:r>
        <w:rPr>
          <w:rFonts w:ascii="Calibri" w:hAnsi="Calibri" w:cs="Calibri"/>
        </w:rPr>
        <w:t xml:space="preserve"> a dedicated function to CRA education that has served the field well for years. However, NACEDA fears that that function (and related functions in the other regulating entities) will provide woefully insufficient levels of education to the field. </w:t>
      </w:r>
      <w:r w:rsidR="00F10CAC">
        <w:rPr>
          <w:rFonts w:ascii="_ΩÊu'3" w:hAnsi="_ΩÊu'3" w:cs="_ΩÊu'3"/>
        </w:rPr>
        <w:t>This is particularly important because</w:t>
      </w:r>
      <w:r w:rsidR="00242EF7">
        <w:rPr>
          <w:rFonts w:ascii="_ΩÊu'3" w:hAnsi="_ΩÊu'3" w:cs="_ΩÊu'3"/>
        </w:rPr>
        <w:t xml:space="preserve"> </w:t>
      </w:r>
      <w:r w:rsidR="00F10CAC">
        <w:rPr>
          <w:rFonts w:ascii="_ΩÊu'3" w:hAnsi="_ΩÊu'3" w:cs="_ΩÊu'3"/>
        </w:rPr>
        <w:t xml:space="preserve">this process has </w:t>
      </w:r>
      <w:r w:rsidR="00F10CAC" w:rsidRPr="00F10CAC">
        <w:rPr>
          <w:rFonts w:ascii="_ΩÊu'3" w:hAnsi="_ΩÊu'3" w:cs="_ΩÊu'3"/>
        </w:rPr>
        <w:t xml:space="preserve">become so complicated and technical that many community-based organizations currently feel ill-equipped to meaningfully participate. </w:t>
      </w:r>
    </w:p>
    <w:p w14:paraId="68971DE9" w14:textId="77777777" w:rsidR="00242EF7" w:rsidRPr="00242EF7" w:rsidRDefault="00242EF7" w:rsidP="00242EF7">
      <w:pPr>
        <w:rPr>
          <w:rFonts w:ascii="_ΩÊu'3" w:eastAsiaTheme="minorHAnsi" w:hAnsi="_ΩÊu'3" w:cs="_ΩÊu'3"/>
        </w:rPr>
      </w:pPr>
    </w:p>
    <w:p w14:paraId="54357D3F" w14:textId="276DF812" w:rsidR="009650FE" w:rsidRDefault="00BB1A85" w:rsidP="00F10CAC">
      <w:pPr>
        <w:pStyle w:val="ListParagraph"/>
        <w:numPr>
          <w:ilvl w:val="0"/>
          <w:numId w:val="1"/>
        </w:numPr>
        <w:rPr>
          <w:rFonts w:ascii="Calibri" w:hAnsi="Calibri" w:cs="Calibri"/>
          <w:b/>
          <w:bCs/>
        </w:rPr>
      </w:pPr>
      <w:r>
        <w:rPr>
          <w:rFonts w:ascii="Calibri" w:hAnsi="Calibri" w:cs="Calibri"/>
          <w:b/>
          <w:bCs/>
        </w:rPr>
        <w:t>The community development financing test for intermediate banks must be required, not optional.</w:t>
      </w:r>
      <w:r w:rsidR="000259F9">
        <w:rPr>
          <w:rFonts w:ascii="Calibri" w:hAnsi="Calibri" w:cs="Calibri"/>
          <w:b/>
          <w:bCs/>
        </w:rPr>
        <w:t xml:space="preserve"> </w:t>
      </w:r>
      <w:r w:rsidR="001078D2">
        <w:rPr>
          <w:rFonts w:ascii="Calibri" w:hAnsi="Calibri" w:cs="Calibri"/>
        </w:rPr>
        <w:t xml:space="preserve">Under the proposal, intermediate banks are subject to a status quo community development test or the option for the new community development finance test. NACEDA urges regulators to make all intermediate banks subject to the community development finance test. Subjecting large and intermediate banks to the new test creates consistency among banks and examiners, and it provides others in the community development industry (non-bank investors, funders, community development nonprofits, public officials, researchers, and others) with a consistent understanding of how banks are regulated on their community development activity. </w:t>
      </w:r>
      <w:r w:rsidR="009650FE">
        <w:rPr>
          <w:rFonts w:ascii="Calibri" w:hAnsi="Calibri" w:cs="Calibri"/>
          <w:b/>
          <w:bCs/>
        </w:rPr>
        <w:br/>
      </w:r>
    </w:p>
    <w:p w14:paraId="785C0814" w14:textId="772F4BBD" w:rsidR="00436845" w:rsidRPr="00436845" w:rsidRDefault="009650FE" w:rsidP="00F10CAC">
      <w:pPr>
        <w:pStyle w:val="ListParagraph"/>
        <w:numPr>
          <w:ilvl w:val="0"/>
          <w:numId w:val="1"/>
        </w:numPr>
        <w:rPr>
          <w:rFonts w:ascii="Calibri" w:hAnsi="Calibri" w:cs="Calibri"/>
          <w:b/>
          <w:bCs/>
        </w:rPr>
      </w:pPr>
      <w:r>
        <w:rPr>
          <w:rFonts w:ascii="Calibri" w:hAnsi="Calibri" w:cs="Calibri"/>
          <w:b/>
          <w:bCs/>
        </w:rPr>
        <w:t xml:space="preserve">The NPR does not do enough to clarify the role of </w:t>
      </w:r>
      <w:r w:rsidR="0077224E">
        <w:rPr>
          <w:rFonts w:ascii="Calibri" w:hAnsi="Calibri" w:cs="Calibri"/>
          <w:b/>
          <w:bCs/>
        </w:rPr>
        <w:t>community-based</w:t>
      </w:r>
      <w:r>
        <w:rPr>
          <w:rFonts w:ascii="Calibri" w:hAnsi="Calibri" w:cs="Calibri"/>
          <w:b/>
          <w:bCs/>
        </w:rPr>
        <w:t xml:space="preserve"> development organizations</w:t>
      </w:r>
      <w:r w:rsidR="0077224E">
        <w:rPr>
          <w:rFonts w:ascii="Calibri" w:hAnsi="Calibri" w:cs="Calibri"/>
          <w:b/>
          <w:bCs/>
        </w:rPr>
        <w:t xml:space="preserve"> (CBDOs)</w:t>
      </w:r>
      <w:r>
        <w:rPr>
          <w:rFonts w:ascii="Calibri" w:hAnsi="Calibri" w:cs="Calibri"/>
          <w:b/>
          <w:bCs/>
        </w:rPr>
        <w:t xml:space="preserve"> in CRA.</w:t>
      </w:r>
      <w:r w:rsidR="0077224E">
        <w:rPr>
          <w:rFonts w:ascii="Calibri" w:hAnsi="Calibri" w:cs="Calibri"/>
          <w:b/>
          <w:bCs/>
        </w:rPr>
        <w:t xml:space="preserve"> </w:t>
      </w:r>
      <w:r w:rsidR="00242EF7" w:rsidRPr="00242EF7">
        <w:rPr>
          <w:rFonts w:ascii="Calibri" w:hAnsi="Calibri" w:cs="Calibri"/>
        </w:rPr>
        <w:t>T</w:t>
      </w:r>
      <w:r w:rsidR="0077224E">
        <w:rPr>
          <w:rFonts w:ascii="Calibri" w:hAnsi="Calibri" w:cs="Calibri"/>
        </w:rPr>
        <w:t>he NPR sometimes recognize</w:t>
      </w:r>
      <w:r w:rsidR="00171D12">
        <w:rPr>
          <w:rFonts w:ascii="Calibri" w:hAnsi="Calibri" w:cs="Calibri"/>
        </w:rPr>
        <w:t>s</w:t>
      </w:r>
      <w:r w:rsidR="0077224E">
        <w:rPr>
          <w:rFonts w:ascii="Calibri" w:hAnsi="Calibri" w:cs="Calibri"/>
        </w:rPr>
        <w:t xml:space="preserve"> the important role CDCs and CBDOs play</w:t>
      </w:r>
      <w:r w:rsidR="00436845">
        <w:rPr>
          <w:rFonts w:ascii="Calibri" w:hAnsi="Calibri" w:cs="Calibri"/>
        </w:rPr>
        <w:t xml:space="preserve">, such as in the eligible activities section in which a qualifying housing activity has a ‘primary community development purpose,’ if developed by one of these organizations. </w:t>
      </w:r>
    </w:p>
    <w:p w14:paraId="369CFED3" w14:textId="77777777" w:rsidR="00436845" w:rsidRPr="00436845" w:rsidRDefault="00436845" w:rsidP="00436845">
      <w:pPr>
        <w:pStyle w:val="ListParagraph"/>
        <w:rPr>
          <w:rFonts w:ascii="Calibri" w:hAnsi="Calibri" w:cs="Calibri"/>
          <w:b/>
          <w:bCs/>
        </w:rPr>
      </w:pPr>
    </w:p>
    <w:p w14:paraId="08A76661" w14:textId="7A372D02" w:rsidR="00171D12" w:rsidRPr="00436845" w:rsidRDefault="00242EF7" w:rsidP="00171D12">
      <w:pPr>
        <w:pStyle w:val="ListParagraph"/>
        <w:rPr>
          <w:rFonts w:ascii="Calibri" w:hAnsi="Calibri" w:cs="Calibri"/>
          <w:b/>
          <w:bCs/>
        </w:rPr>
      </w:pPr>
      <w:r>
        <w:rPr>
          <w:rFonts w:ascii="Calibri" w:hAnsi="Calibri" w:cs="Calibri"/>
        </w:rPr>
        <w:t>A</w:t>
      </w:r>
      <w:r w:rsidR="00171D12">
        <w:rPr>
          <w:rFonts w:ascii="Calibri" w:hAnsi="Calibri" w:cs="Calibri"/>
        </w:rPr>
        <w:t xml:space="preserve"> currently active federal definition of a CDC </w:t>
      </w:r>
      <w:r>
        <w:rPr>
          <w:rFonts w:ascii="Calibri" w:hAnsi="Calibri" w:cs="Calibri"/>
        </w:rPr>
        <w:t xml:space="preserve">is offered in </w:t>
      </w:r>
      <w:r w:rsidR="00171D12">
        <w:rPr>
          <w:rFonts w:ascii="Calibri" w:hAnsi="Calibri" w:cs="Calibri"/>
        </w:rPr>
        <w:t>the Office of Community Services within HHS</w:t>
      </w:r>
      <w:r>
        <w:rPr>
          <w:rFonts w:ascii="Calibri" w:hAnsi="Calibri" w:cs="Calibri"/>
        </w:rPr>
        <w:t>.</w:t>
      </w:r>
      <w:r w:rsidR="00171D12">
        <w:rPr>
          <w:rFonts w:ascii="Calibri" w:hAnsi="Calibri" w:cs="Calibri"/>
        </w:rPr>
        <w:t xml:space="preserve"> </w:t>
      </w:r>
      <w:r>
        <w:rPr>
          <w:rFonts w:ascii="Calibri" w:hAnsi="Calibri" w:cs="Calibri"/>
        </w:rPr>
        <w:t>W</w:t>
      </w:r>
      <w:r w:rsidR="00171D12">
        <w:rPr>
          <w:rFonts w:ascii="Calibri" w:hAnsi="Calibri" w:cs="Calibri"/>
        </w:rPr>
        <w:t xml:space="preserve">e ask regulators to adapt and adopt </w:t>
      </w:r>
      <w:r>
        <w:rPr>
          <w:rFonts w:ascii="Calibri" w:hAnsi="Calibri" w:cs="Calibri"/>
        </w:rPr>
        <w:t xml:space="preserve">this definition </w:t>
      </w:r>
      <w:r w:rsidR="00171D12">
        <w:rPr>
          <w:rFonts w:ascii="Calibri" w:hAnsi="Calibri" w:cs="Calibri"/>
        </w:rPr>
        <w:t>to identify organizations that qualify as a CDC for CRA purposes.</w:t>
      </w:r>
    </w:p>
    <w:p w14:paraId="6839B37B" w14:textId="77777777" w:rsidR="00171D12" w:rsidRDefault="00171D12" w:rsidP="00436845">
      <w:pPr>
        <w:pStyle w:val="ListParagraph"/>
        <w:rPr>
          <w:rFonts w:ascii="Calibri" w:hAnsi="Calibri" w:cs="Calibri"/>
        </w:rPr>
      </w:pPr>
    </w:p>
    <w:p w14:paraId="290F5FA2" w14:textId="14C46B63" w:rsidR="00171D12" w:rsidRDefault="00436845" w:rsidP="00436845">
      <w:pPr>
        <w:pStyle w:val="ListParagraph"/>
        <w:rPr>
          <w:rFonts w:ascii="Calibri" w:hAnsi="Calibri" w:cs="Calibri"/>
        </w:rPr>
      </w:pPr>
      <w:r>
        <w:rPr>
          <w:rFonts w:ascii="Calibri" w:hAnsi="Calibri" w:cs="Calibri"/>
        </w:rPr>
        <w:t xml:space="preserve">In addition, there are </w:t>
      </w:r>
      <w:r w:rsidR="00171D12">
        <w:rPr>
          <w:rFonts w:ascii="Calibri" w:hAnsi="Calibri" w:cs="Calibri"/>
        </w:rPr>
        <w:t>several</w:t>
      </w:r>
      <w:r>
        <w:rPr>
          <w:rFonts w:ascii="Calibri" w:hAnsi="Calibri" w:cs="Calibri"/>
        </w:rPr>
        <w:t xml:space="preserve"> places in the NPR </w:t>
      </w:r>
      <w:r w:rsidR="00171D12">
        <w:rPr>
          <w:rFonts w:ascii="Calibri" w:hAnsi="Calibri" w:cs="Calibri"/>
        </w:rPr>
        <w:t xml:space="preserve">in which </w:t>
      </w:r>
      <w:r>
        <w:rPr>
          <w:rFonts w:ascii="Calibri" w:hAnsi="Calibri" w:cs="Calibri"/>
        </w:rPr>
        <w:t xml:space="preserve">the role of these organizations can </w:t>
      </w:r>
      <w:r w:rsidR="00257D9C">
        <w:rPr>
          <w:rFonts w:ascii="Calibri" w:hAnsi="Calibri" w:cs="Calibri"/>
        </w:rPr>
        <w:t xml:space="preserve">be clarified and, at the same time, help regulators and banks achieve their stated CRA-related objectives. </w:t>
      </w:r>
      <w:r w:rsidR="008A0CD2">
        <w:rPr>
          <w:rFonts w:ascii="Calibri" w:hAnsi="Calibri" w:cs="Calibri"/>
        </w:rPr>
        <w:t>For example, a similar ‘primary purpose’ standard could be applied to economic development activities that include a CBDO.</w:t>
      </w:r>
    </w:p>
    <w:p w14:paraId="4E587A7F" w14:textId="3360498E" w:rsidR="00EF4058" w:rsidRDefault="00EF4058" w:rsidP="00436845">
      <w:pPr>
        <w:pStyle w:val="ListParagraph"/>
        <w:rPr>
          <w:rFonts w:ascii="Calibri" w:hAnsi="Calibri" w:cs="Calibri"/>
        </w:rPr>
      </w:pPr>
    </w:p>
    <w:p w14:paraId="732CF1F6" w14:textId="186357C1" w:rsidR="00706B82" w:rsidRDefault="00706B82" w:rsidP="00F10CAC">
      <w:pPr>
        <w:pStyle w:val="ListParagraph"/>
        <w:numPr>
          <w:ilvl w:val="0"/>
          <w:numId w:val="1"/>
        </w:numPr>
        <w:rPr>
          <w:rFonts w:ascii="Calibri" w:hAnsi="Calibri" w:cs="Calibri"/>
        </w:rPr>
      </w:pPr>
      <w:r>
        <w:rPr>
          <w:rFonts w:ascii="Calibri" w:hAnsi="Calibri" w:cs="Calibri"/>
          <w:b/>
          <w:bCs/>
        </w:rPr>
        <w:t>Maximize the amount of data that will be publicly available as part of the CRA examination and pre-</w:t>
      </w:r>
      <w:r w:rsidR="007A21F7">
        <w:rPr>
          <w:rFonts w:ascii="Calibri" w:hAnsi="Calibri" w:cs="Calibri"/>
          <w:b/>
          <w:bCs/>
        </w:rPr>
        <w:t>approval</w:t>
      </w:r>
      <w:r>
        <w:rPr>
          <w:rFonts w:ascii="Calibri" w:hAnsi="Calibri" w:cs="Calibri"/>
          <w:b/>
          <w:bCs/>
        </w:rPr>
        <w:t xml:space="preserve"> process. </w:t>
      </w:r>
      <w:r w:rsidR="00EF4058" w:rsidRPr="00EF4058">
        <w:rPr>
          <w:rFonts w:ascii="Calibri" w:hAnsi="Calibri" w:cs="Calibri"/>
        </w:rPr>
        <w:t>We appreciate the level of detail agencies propos</w:t>
      </w:r>
      <w:r>
        <w:rPr>
          <w:rFonts w:ascii="Calibri" w:hAnsi="Calibri" w:cs="Calibri"/>
        </w:rPr>
        <w:t>e</w:t>
      </w:r>
      <w:r w:rsidR="00EF4058" w:rsidRPr="00EF4058">
        <w:rPr>
          <w:rFonts w:ascii="Calibri" w:hAnsi="Calibri" w:cs="Calibri"/>
        </w:rPr>
        <w:t xml:space="preserve"> to publish </w:t>
      </w:r>
      <w:r>
        <w:rPr>
          <w:rFonts w:ascii="Calibri" w:hAnsi="Calibri" w:cs="Calibri"/>
        </w:rPr>
        <w:t xml:space="preserve">as part of </w:t>
      </w:r>
      <w:r w:rsidR="00EF4058" w:rsidRPr="00EF4058">
        <w:rPr>
          <w:rFonts w:ascii="Calibri" w:hAnsi="Calibri" w:cs="Calibri"/>
        </w:rPr>
        <w:t>CRA exams.</w:t>
      </w:r>
      <w:r>
        <w:rPr>
          <w:rFonts w:ascii="Calibri" w:hAnsi="Calibri" w:cs="Calibri"/>
        </w:rPr>
        <w:t xml:space="preserve"> We also urge transparency and published determinations as part of the bank-accessible pre-</w:t>
      </w:r>
      <w:r w:rsidR="007A21F7">
        <w:rPr>
          <w:rFonts w:ascii="Calibri" w:hAnsi="Calibri" w:cs="Calibri"/>
        </w:rPr>
        <w:t>approval</w:t>
      </w:r>
      <w:r>
        <w:rPr>
          <w:rFonts w:ascii="Calibri" w:hAnsi="Calibri" w:cs="Calibri"/>
        </w:rPr>
        <w:t xml:space="preserve"> process proposed</w:t>
      </w:r>
      <w:r w:rsidR="00242EF7">
        <w:rPr>
          <w:rFonts w:ascii="Calibri" w:hAnsi="Calibri" w:cs="Calibri"/>
        </w:rPr>
        <w:t>.</w:t>
      </w:r>
    </w:p>
    <w:p w14:paraId="0145F7F5" w14:textId="77777777" w:rsidR="00706B82" w:rsidRDefault="00706B82" w:rsidP="00706B82">
      <w:pPr>
        <w:pStyle w:val="ListParagraph"/>
        <w:rPr>
          <w:rFonts w:ascii="Calibri" w:hAnsi="Calibri" w:cs="Calibri"/>
        </w:rPr>
      </w:pPr>
    </w:p>
    <w:p w14:paraId="67DB09C1" w14:textId="0A7213A5" w:rsidR="008A4837" w:rsidRDefault="00EF4058" w:rsidP="00706B82">
      <w:pPr>
        <w:pStyle w:val="ListParagraph"/>
        <w:rPr>
          <w:rFonts w:ascii="Calibri" w:hAnsi="Calibri" w:cs="Calibri"/>
        </w:rPr>
      </w:pPr>
      <w:r w:rsidRPr="00EF4058">
        <w:rPr>
          <w:rFonts w:ascii="Calibri" w:hAnsi="Calibri" w:cs="Calibri"/>
        </w:rPr>
        <w:t>We urge the agencies to also make public all data associated with a CRA exam to further the agencies’ stated goals of making CRA exams more consistent and transparent</w:t>
      </w:r>
      <w:r w:rsidR="00242EF7">
        <w:rPr>
          <w:rFonts w:ascii="Calibri" w:hAnsi="Calibri" w:cs="Calibri"/>
        </w:rPr>
        <w:t>. T</w:t>
      </w:r>
      <w:r w:rsidR="008A4837">
        <w:rPr>
          <w:rFonts w:ascii="Calibri" w:hAnsi="Calibri" w:cs="Calibri"/>
        </w:rPr>
        <w:t xml:space="preserve">his is </w:t>
      </w:r>
      <w:r w:rsidR="008A4837">
        <w:rPr>
          <w:rFonts w:ascii="Calibri" w:hAnsi="Calibri" w:cs="Calibri"/>
        </w:rPr>
        <w:lastRenderedPageBreak/>
        <w:t xml:space="preserve">particularly important for the gathering and publication of community development finance-related data. This type of data has the potential to be transformative for the community development field. We encourage regulators to play a leadership role in this </w:t>
      </w:r>
      <w:r w:rsidR="00A61DDC">
        <w:rPr>
          <w:rFonts w:ascii="Calibri" w:hAnsi="Calibri" w:cs="Calibri"/>
        </w:rPr>
        <w:t>regard</w:t>
      </w:r>
      <w:r w:rsidR="008A4837">
        <w:rPr>
          <w:rFonts w:ascii="Calibri" w:hAnsi="Calibri" w:cs="Calibri"/>
        </w:rPr>
        <w:t>.</w:t>
      </w:r>
    </w:p>
    <w:p w14:paraId="2873D3B0" w14:textId="77777777" w:rsidR="008A4837" w:rsidRDefault="008A4837" w:rsidP="00706B82">
      <w:pPr>
        <w:pStyle w:val="ListParagraph"/>
        <w:rPr>
          <w:rFonts w:ascii="Calibri" w:hAnsi="Calibri" w:cs="Calibri"/>
        </w:rPr>
      </w:pPr>
    </w:p>
    <w:p w14:paraId="398120C5" w14:textId="74973EDA" w:rsidR="00EF4058" w:rsidRPr="00EF4058" w:rsidRDefault="008A4837" w:rsidP="00706B82">
      <w:pPr>
        <w:pStyle w:val="ListParagraph"/>
        <w:rPr>
          <w:rFonts w:ascii="Calibri" w:hAnsi="Calibri" w:cs="Calibri"/>
        </w:rPr>
      </w:pPr>
      <w:r>
        <w:rPr>
          <w:rFonts w:ascii="Calibri" w:hAnsi="Calibri" w:cs="Calibri"/>
        </w:rPr>
        <w:t>And w</w:t>
      </w:r>
      <w:r w:rsidR="00EF4058" w:rsidRPr="00EF4058">
        <w:rPr>
          <w:rFonts w:ascii="Calibri" w:hAnsi="Calibri" w:cs="Calibri"/>
        </w:rPr>
        <w:t>henever possible, the agencies should use plain language in these publications to make the information accessible to community members. This information would benefit all stakeholders – fellow regulators, financial institutions, and community advocat</w:t>
      </w:r>
      <w:r>
        <w:rPr>
          <w:rFonts w:ascii="Calibri" w:hAnsi="Calibri" w:cs="Calibri"/>
        </w:rPr>
        <w:t>es.</w:t>
      </w:r>
    </w:p>
    <w:p w14:paraId="0FF2AA40" w14:textId="77777777" w:rsidR="00EF4058" w:rsidRDefault="00EF4058" w:rsidP="00436845">
      <w:pPr>
        <w:pStyle w:val="ListParagraph"/>
        <w:rPr>
          <w:rFonts w:ascii="Calibri" w:hAnsi="Calibri" w:cs="Calibri"/>
        </w:rPr>
      </w:pPr>
    </w:p>
    <w:p w14:paraId="713113A0" w14:textId="77777777" w:rsidR="00171D12" w:rsidRDefault="00171D12" w:rsidP="00436845">
      <w:pPr>
        <w:pStyle w:val="ListParagraph"/>
        <w:rPr>
          <w:rFonts w:ascii="Calibri" w:hAnsi="Calibri" w:cs="Calibri"/>
        </w:rPr>
      </w:pPr>
    </w:p>
    <w:p w14:paraId="5813BD6F" w14:textId="77777777" w:rsidR="00A61DDC" w:rsidRDefault="00A61DDC" w:rsidP="00171D12">
      <w:pPr>
        <w:rPr>
          <w:rFonts w:ascii="Calibri" w:hAnsi="Calibri" w:cs="Calibri"/>
          <w:b/>
          <w:bCs/>
        </w:rPr>
        <w:sectPr w:rsidR="00A61D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7011035" w14:textId="6F8989B7" w:rsidR="00A61DDC" w:rsidRDefault="00A61DDC" w:rsidP="00171D12">
      <w:pPr>
        <w:rPr>
          <w:rFonts w:ascii="Calibri" w:hAnsi="Calibri" w:cs="Calibri"/>
          <w:b/>
          <w:bCs/>
        </w:rPr>
      </w:pPr>
    </w:p>
    <w:sectPr w:rsidR="00A61DDC" w:rsidSect="00A61D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67F2" w14:textId="77777777" w:rsidR="00524B0B" w:rsidRDefault="00524B0B" w:rsidP="00121583">
      <w:r>
        <w:separator/>
      </w:r>
    </w:p>
  </w:endnote>
  <w:endnote w:type="continuationSeparator" w:id="0">
    <w:p w14:paraId="7A43587A" w14:textId="77777777" w:rsidR="00524B0B" w:rsidRDefault="00524B0B" w:rsidP="0012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_ΩÊu'3">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303312"/>
      <w:docPartObj>
        <w:docPartGallery w:val="Page Numbers (Bottom of Page)"/>
        <w:docPartUnique/>
      </w:docPartObj>
    </w:sdtPr>
    <w:sdtContent>
      <w:p w14:paraId="5D395566" w14:textId="14ADBD8B" w:rsidR="00121583" w:rsidRDefault="00121583" w:rsidP="009E0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A8650C" w14:textId="77777777" w:rsidR="00121583" w:rsidRDefault="00121583" w:rsidP="00121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797032"/>
      <w:docPartObj>
        <w:docPartGallery w:val="Page Numbers (Bottom of Page)"/>
        <w:docPartUnique/>
      </w:docPartObj>
    </w:sdtPr>
    <w:sdtContent>
      <w:p w14:paraId="29140CE5" w14:textId="160AB4A4" w:rsidR="00121583" w:rsidRDefault="00121583" w:rsidP="009E0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047BF4" w14:textId="77777777" w:rsidR="00121583" w:rsidRDefault="00121583" w:rsidP="001215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DC3F" w14:textId="77777777" w:rsidR="009E6F44" w:rsidRDefault="009E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6B13" w14:textId="77777777" w:rsidR="00524B0B" w:rsidRDefault="00524B0B" w:rsidP="00121583">
      <w:r>
        <w:separator/>
      </w:r>
    </w:p>
  </w:footnote>
  <w:footnote w:type="continuationSeparator" w:id="0">
    <w:p w14:paraId="3FC49F96" w14:textId="77777777" w:rsidR="00524B0B" w:rsidRDefault="00524B0B" w:rsidP="0012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E35E" w14:textId="57106A95" w:rsidR="009E6F44" w:rsidRDefault="00000000">
    <w:pPr>
      <w:pStyle w:val="Header"/>
    </w:pPr>
    <w:r>
      <w:rPr>
        <w:noProof/>
      </w:rPr>
      <w:pict w14:anchorId="163C6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79463" o:spid="_x0000_s1027"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2F25" w14:textId="693505A1" w:rsidR="009E6F44" w:rsidRDefault="00000000">
    <w:pPr>
      <w:pStyle w:val="Header"/>
    </w:pPr>
    <w:r>
      <w:rPr>
        <w:noProof/>
      </w:rPr>
      <w:pict w14:anchorId="63417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79464" o:spid="_x0000_s1026" type="#_x0000_t136" alt="" style="position:absolute;margin-left:0;margin-top:0;width:494.9pt;height:164.9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6DD3" w14:textId="38268617" w:rsidR="009E6F44" w:rsidRDefault="00000000">
    <w:pPr>
      <w:pStyle w:val="Header"/>
    </w:pPr>
    <w:r>
      <w:rPr>
        <w:noProof/>
      </w:rPr>
      <w:pict w14:anchorId="51C4E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379462" o:spid="_x0000_s1025"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62C"/>
    <w:multiLevelType w:val="hybridMultilevel"/>
    <w:tmpl w:val="B8120DA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52ABC"/>
    <w:multiLevelType w:val="hybridMultilevel"/>
    <w:tmpl w:val="754AF5F4"/>
    <w:lvl w:ilvl="0" w:tplc="CB0E7D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57675"/>
    <w:multiLevelType w:val="hybridMultilevel"/>
    <w:tmpl w:val="3DF65C06"/>
    <w:lvl w:ilvl="0" w:tplc="90BCE2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05816"/>
    <w:multiLevelType w:val="hybridMultilevel"/>
    <w:tmpl w:val="08D053A0"/>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110323"/>
    <w:multiLevelType w:val="hybridMultilevel"/>
    <w:tmpl w:val="2610A954"/>
    <w:lvl w:ilvl="0" w:tplc="4684AAF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2667395">
    <w:abstractNumId w:val="2"/>
  </w:num>
  <w:num w:numId="2" w16cid:durableId="1680425228">
    <w:abstractNumId w:val="4"/>
  </w:num>
  <w:num w:numId="3" w16cid:durableId="1633242706">
    <w:abstractNumId w:val="1"/>
  </w:num>
  <w:num w:numId="4" w16cid:durableId="442726897">
    <w:abstractNumId w:val="0"/>
  </w:num>
  <w:num w:numId="5" w16cid:durableId="2056271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4D"/>
    <w:rsid w:val="000003D7"/>
    <w:rsid w:val="00010F5F"/>
    <w:rsid w:val="000259F9"/>
    <w:rsid w:val="00045DF5"/>
    <w:rsid w:val="00050408"/>
    <w:rsid w:val="0007717E"/>
    <w:rsid w:val="000847BE"/>
    <w:rsid w:val="000868E0"/>
    <w:rsid w:val="000A09C8"/>
    <w:rsid w:val="000A11D9"/>
    <w:rsid w:val="000B1B9C"/>
    <w:rsid w:val="000C74EA"/>
    <w:rsid w:val="001078D2"/>
    <w:rsid w:val="001118C6"/>
    <w:rsid w:val="00121583"/>
    <w:rsid w:val="00124FAD"/>
    <w:rsid w:val="0013145A"/>
    <w:rsid w:val="00132141"/>
    <w:rsid w:val="00137146"/>
    <w:rsid w:val="00154439"/>
    <w:rsid w:val="00157655"/>
    <w:rsid w:val="00171D12"/>
    <w:rsid w:val="00172652"/>
    <w:rsid w:val="001A1DA3"/>
    <w:rsid w:val="00214712"/>
    <w:rsid w:val="00235BAC"/>
    <w:rsid w:val="00236C82"/>
    <w:rsid w:val="00242EF7"/>
    <w:rsid w:val="00257202"/>
    <w:rsid w:val="00257D9C"/>
    <w:rsid w:val="00290EB5"/>
    <w:rsid w:val="002E1034"/>
    <w:rsid w:val="00300701"/>
    <w:rsid w:val="003443BE"/>
    <w:rsid w:val="00347B21"/>
    <w:rsid w:val="00367591"/>
    <w:rsid w:val="003711EC"/>
    <w:rsid w:val="00387152"/>
    <w:rsid w:val="003A7A53"/>
    <w:rsid w:val="003B6BEA"/>
    <w:rsid w:val="003C2280"/>
    <w:rsid w:val="004337E3"/>
    <w:rsid w:val="00436845"/>
    <w:rsid w:val="00481EC2"/>
    <w:rsid w:val="0048511F"/>
    <w:rsid w:val="00493F7A"/>
    <w:rsid w:val="004A7A40"/>
    <w:rsid w:val="004C16E2"/>
    <w:rsid w:val="004D5D51"/>
    <w:rsid w:val="005224FE"/>
    <w:rsid w:val="00524B0B"/>
    <w:rsid w:val="00554416"/>
    <w:rsid w:val="005808AA"/>
    <w:rsid w:val="0058303A"/>
    <w:rsid w:val="005A7829"/>
    <w:rsid w:val="005B2192"/>
    <w:rsid w:val="006037EC"/>
    <w:rsid w:val="00621470"/>
    <w:rsid w:val="0065158D"/>
    <w:rsid w:val="0065267B"/>
    <w:rsid w:val="00663FCC"/>
    <w:rsid w:val="00683FE5"/>
    <w:rsid w:val="006B2506"/>
    <w:rsid w:val="006C4B31"/>
    <w:rsid w:val="006F5433"/>
    <w:rsid w:val="007021DB"/>
    <w:rsid w:val="00706B82"/>
    <w:rsid w:val="007135B5"/>
    <w:rsid w:val="0077224E"/>
    <w:rsid w:val="007A21F7"/>
    <w:rsid w:val="00802C5A"/>
    <w:rsid w:val="00816649"/>
    <w:rsid w:val="00851FD2"/>
    <w:rsid w:val="00861BDC"/>
    <w:rsid w:val="008A0CD2"/>
    <w:rsid w:val="008A4837"/>
    <w:rsid w:val="008C0B21"/>
    <w:rsid w:val="008C6FBC"/>
    <w:rsid w:val="0090332F"/>
    <w:rsid w:val="009454F5"/>
    <w:rsid w:val="009546AE"/>
    <w:rsid w:val="009650FE"/>
    <w:rsid w:val="009B399B"/>
    <w:rsid w:val="009C20BD"/>
    <w:rsid w:val="009D609F"/>
    <w:rsid w:val="009E6F44"/>
    <w:rsid w:val="009F3CCD"/>
    <w:rsid w:val="00A61DDC"/>
    <w:rsid w:val="00A6387F"/>
    <w:rsid w:val="00AA67FF"/>
    <w:rsid w:val="00AB4A8A"/>
    <w:rsid w:val="00AC7F62"/>
    <w:rsid w:val="00B248D5"/>
    <w:rsid w:val="00B62727"/>
    <w:rsid w:val="00B74560"/>
    <w:rsid w:val="00B82EEF"/>
    <w:rsid w:val="00B91AB1"/>
    <w:rsid w:val="00B966FD"/>
    <w:rsid w:val="00B97AB8"/>
    <w:rsid w:val="00BA7E03"/>
    <w:rsid w:val="00BB1A85"/>
    <w:rsid w:val="00BB45AE"/>
    <w:rsid w:val="00BC55F5"/>
    <w:rsid w:val="00BC5EEC"/>
    <w:rsid w:val="00BD05ED"/>
    <w:rsid w:val="00BD3EA1"/>
    <w:rsid w:val="00BE6920"/>
    <w:rsid w:val="00BE7091"/>
    <w:rsid w:val="00C00A6C"/>
    <w:rsid w:val="00C20E64"/>
    <w:rsid w:val="00C546D4"/>
    <w:rsid w:val="00C5642C"/>
    <w:rsid w:val="00C64DEF"/>
    <w:rsid w:val="00C84A61"/>
    <w:rsid w:val="00C96A96"/>
    <w:rsid w:val="00C96C7A"/>
    <w:rsid w:val="00CB1409"/>
    <w:rsid w:val="00D114B6"/>
    <w:rsid w:val="00D123AE"/>
    <w:rsid w:val="00D22017"/>
    <w:rsid w:val="00D33602"/>
    <w:rsid w:val="00D3565F"/>
    <w:rsid w:val="00D428B6"/>
    <w:rsid w:val="00DC354D"/>
    <w:rsid w:val="00DC38C7"/>
    <w:rsid w:val="00E17211"/>
    <w:rsid w:val="00E24F18"/>
    <w:rsid w:val="00E25E3C"/>
    <w:rsid w:val="00E32C43"/>
    <w:rsid w:val="00E44B05"/>
    <w:rsid w:val="00E506A2"/>
    <w:rsid w:val="00E86158"/>
    <w:rsid w:val="00E964CD"/>
    <w:rsid w:val="00EA160A"/>
    <w:rsid w:val="00EA5089"/>
    <w:rsid w:val="00EB3A08"/>
    <w:rsid w:val="00EB734E"/>
    <w:rsid w:val="00EC4D03"/>
    <w:rsid w:val="00EE31F1"/>
    <w:rsid w:val="00EF4058"/>
    <w:rsid w:val="00F10CAC"/>
    <w:rsid w:val="00F24F88"/>
    <w:rsid w:val="00F35551"/>
    <w:rsid w:val="00F37E8A"/>
    <w:rsid w:val="00FA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25C74"/>
  <w15:docId w15:val="{C5AF8CD8-E431-BD41-BDD7-B55BB9F3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3BE"/>
    <w:rPr>
      <w:rFonts w:ascii="Times New Roman" w:eastAsia="Times New Roman" w:hAnsi="Times New Roman" w:cs="Times New Roman"/>
    </w:rPr>
  </w:style>
  <w:style w:type="paragraph" w:styleId="Heading2">
    <w:name w:val="heading 2"/>
    <w:basedOn w:val="Normal"/>
    <w:link w:val="Heading2Char"/>
    <w:uiPriority w:val="9"/>
    <w:qFormat/>
    <w:rsid w:val="00BA7E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5ED"/>
    <w:rPr>
      <w:color w:val="0563C1" w:themeColor="hyperlink"/>
      <w:u w:val="single"/>
    </w:rPr>
  </w:style>
  <w:style w:type="character" w:styleId="UnresolvedMention">
    <w:name w:val="Unresolved Mention"/>
    <w:basedOn w:val="DefaultParagraphFont"/>
    <w:uiPriority w:val="99"/>
    <w:semiHidden/>
    <w:unhideWhenUsed/>
    <w:rsid w:val="00BD05ED"/>
    <w:rPr>
      <w:color w:val="605E5C"/>
      <w:shd w:val="clear" w:color="auto" w:fill="E1DFDD"/>
    </w:rPr>
  </w:style>
  <w:style w:type="paragraph" w:styleId="Footer">
    <w:name w:val="footer"/>
    <w:basedOn w:val="Normal"/>
    <w:link w:val="FooterChar"/>
    <w:uiPriority w:val="99"/>
    <w:unhideWhenUsed/>
    <w:rsid w:val="0012158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21583"/>
  </w:style>
  <w:style w:type="character" w:styleId="PageNumber">
    <w:name w:val="page number"/>
    <w:basedOn w:val="DefaultParagraphFont"/>
    <w:uiPriority w:val="99"/>
    <w:semiHidden/>
    <w:unhideWhenUsed/>
    <w:rsid w:val="00121583"/>
  </w:style>
  <w:style w:type="paragraph" w:styleId="Header">
    <w:name w:val="header"/>
    <w:basedOn w:val="Normal"/>
    <w:link w:val="HeaderChar"/>
    <w:uiPriority w:val="99"/>
    <w:unhideWhenUsed/>
    <w:rsid w:val="009E6F4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E6F44"/>
  </w:style>
  <w:style w:type="character" w:customStyle="1" w:styleId="Heading2Char">
    <w:name w:val="Heading 2 Char"/>
    <w:basedOn w:val="DefaultParagraphFont"/>
    <w:link w:val="Heading2"/>
    <w:uiPriority w:val="9"/>
    <w:rsid w:val="00BA7E03"/>
    <w:rPr>
      <w:rFonts w:ascii="Times New Roman" w:eastAsia="Times New Roman" w:hAnsi="Times New Roman" w:cs="Times New Roman"/>
      <w:b/>
      <w:bCs/>
      <w:sz w:val="36"/>
      <w:szCs w:val="36"/>
    </w:rPr>
  </w:style>
  <w:style w:type="paragraph" w:customStyle="1" w:styleId="selectionshareable">
    <w:name w:val="selectionshareable"/>
    <w:basedOn w:val="Normal"/>
    <w:rsid w:val="00BA7E03"/>
    <w:pPr>
      <w:spacing w:before="100" w:beforeAutospacing="1" w:after="100" w:afterAutospacing="1"/>
    </w:pPr>
  </w:style>
  <w:style w:type="character" w:styleId="Strong">
    <w:name w:val="Strong"/>
    <w:basedOn w:val="DefaultParagraphFont"/>
    <w:uiPriority w:val="22"/>
    <w:qFormat/>
    <w:rsid w:val="00BA7E03"/>
    <w:rPr>
      <w:b/>
      <w:bCs/>
    </w:rPr>
  </w:style>
  <w:style w:type="character" w:styleId="Emphasis">
    <w:name w:val="Emphasis"/>
    <w:basedOn w:val="DefaultParagraphFont"/>
    <w:uiPriority w:val="20"/>
    <w:qFormat/>
    <w:rsid w:val="00BA7E03"/>
    <w:rPr>
      <w:i/>
      <w:iCs/>
    </w:rPr>
  </w:style>
  <w:style w:type="paragraph" w:styleId="ListParagraph">
    <w:name w:val="List Paragraph"/>
    <w:basedOn w:val="Normal"/>
    <w:uiPriority w:val="34"/>
    <w:qFormat/>
    <w:rsid w:val="000A11D9"/>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2E1034"/>
    <w:pPr>
      <w:spacing w:before="100" w:beforeAutospacing="1" w:after="100" w:afterAutospacing="1"/>
    </w:pPr>
  </w:style>
  <w:style w:type="character" w:styleId="FollowedHyperlink">
    <w:name w:val="FollowedHyperlink"/>
    <w:basedOn w:val="DefaultParagraphFont"/>
    <w:uiPriority w:val="99"/>
    <w:semiHidden/>
    <w:unhideWhenUsed/>
    <w:rsid w:val="00235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0665">
      <w:bodyDiv w:val="1"/>
      <w:marLeft w:val="0"/>
      <w:marRight w:val="0"/>
      <w:marTop w:val="0"/>
      <w:marBottom w:val="0"/>
      <w:divBdr>
        <w:top w:val="none" w:sz="0" w:space="0" w:color="auto"/>
        <w:left w:val="none" w:sz="0" w:space="0" w:color="auto"/>
        <w:bottom w:val="none" w:sz="0" w:space="0" w:color="auto"/>
        <w:right w:val="none" w:sz="0" w:space="0" w:color="auto"/>
      </w:divBdr>
    </w:div>
    <w:div w:id="267009602">
      <w:bodyDiv w:val="1"/>
      <w:marLeft w:val="0"/>
      <w:marRight w:val="0"/>
      <w:marTop w:val="0"/>
      <w:marBottom w:val="0"/>
      <w:divBdr>
        <w:top w:val="none" w:sz="0" w:space="0" w:color="auto"/>
        <w:left w:val="none" w:sz="0" w:space="0" w:color="auto"/>
        <w:bottom w:val="none" w:sz="0" w:space="0" w:color="auto"/>
        <w:right w:val="none" w:sz="0" w:space="0" w:color="auto"/>
      </w:divBdr>
    </w:div>
    <w:div w:id="525797770">
      <w:bodyDiv w:val="1"/>
      <w:marLeft w:val="0"/>
      <w:marRight w:val="0"/>
      <w:marTop w:val="0"/>
      <w:marBottom w:val="0"/>
      <w:divBdr>
        <w:top w:val="none" w:sz="0" w:space="0" w:color="auto"/>
        <w:left w:val="none" w:sz="0" w:space="0" w:color="auto"/>
        <w:bottom w:val="none" w:sz="0" w:space="0" w:color="auto"/>
        <w:right w:val="none" w:sz="0" w:space="0" w:color="auto"/>
      </w:divBdr>
    </w:div>
    <w:div w:id="652563831">
      <w:bodyDiv w:val="1"/>
      <w:marLeft w:val="0"/>
      <w:marRight w:val="0"/>
      <w:marTop w:val="0"/>
      <w:marBottom w:val="0"/>
      <w:divBdr>
        <w:top w:val="none" w:sz="0" w:space="0" w:color="auto"/>
        <w:left w:val="none" w:sz="0" w:space="0" w:color="auto"/>
        <w:bottom w:val="none" w:sz="0" w:space="0" w:color="auto"/>
        <w:right w:val="none" w:sz="0" w:space="0" w:color="auto"/>
      </w:divBdr>
      <w:divsChild>
        <w:div w:id="234897606">
          <w:marLeft w:val="0"/>
          <w:marRight w:val="0"/>
          <w:marTop w:val="0"/>
          <w:marBottom w:val="150"/>
          <w:divBdr>
            <w:top w:val="none" w:sz="0" w:space="0" w:color="auto"/>
            <w:left w:val="none" w:sz="0" w:space="0" w:color="auto"/>
            <w:bottom w:val="none" w:sz="0" w:space="0" w:color="auto"/>
            <w:right w:val="none" w:sz="0" w:space="0" w:color="auto"/>
          </w:divBdr>
          <w:divsChild>
            <w:div w:id="374817000">
              <w:marLeft w:val="0"/>
              <w:marRight w:val="0"/>
              <w:marTop w:val="0"/>
              <w:marBottom w:val="0"/>
              <w:divBdr>
                <w:top w:val="none" w:sz="0" w:space="0" w:color="auto"/>
                <w:left w:val="none" w:sz="0" w:space="0" w:color="auto"/>
                <w:bottom w:val="none" w:sz="0" w:space="0" w:color="auto"/>
                <w:right w:val="none" w:sz="0" w:space="0" w:color="auto"/>
              </w:divBdr>
            </w:div>
          </w:divsChild>
        </w:div>
        <w:div w:id="753673089">
          <w:marLeft w:val="0"/>
          <w:marRight w:val="0"/>
          <w:marTop w:val="0"/>
          <w:marBottom w:val="150"/>
          <w:divBdr>
            <w:top w:val="none" w:sz="0" w:space="0" w:color="auto"/>
            <w:left w:val="none" w:sz="0" w:space="0" w:color="auto"/>
            <w:bottom w:val="none" w:sz="0" w:space="0" w:color="auto"/>
            <w:right w:val="none" w:sz="0" w:space="0" w:color="auto"/>
          </w:divBdr>
          <w:divsChild>
            <w:div w:id="1553231047">
              <w:marLeft w:val="0"/>
              <w:marRight w:val="0"/>
              <w:marTop w:val="0"/>
              <w:marBottom w:val="0"/>
              <w:divBdr>
                <w:top w:val="none" w:sz="0" w:space="0" w:color="auto"/>
                <w:left w:val="none" w:sz="0" w:space="0" w:color="auto"/>
                <w:bottom w:val="none" w:sz="0" w:space="0" w:color="auto"/>
                <w:right w:val="none" w:sz="0" w:space="0" w:color="auto"/>
              </w:divBdr>
              <w:divsChild>
                <w:div w:id="3723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7647">
      <w:bodyDiv w:val="1"/>
      <w:marLeft w:val="0"/>
      <w:marRight w:val="0"/>
      <w:marTop w:val="0"/>
      <w:marBottom w:val="0"/>
      <w:divBdr>
        <w:top w:val="none" w:sz="0" w:space="0" w:color="auto"/>
        <w:left w:val="none" w:sz="0" w:space="0" w:color="auto"/>
        <w:bottom w:val="none" w:sz="0" w:space="0" w:color="auto"/>
        <w:right w:val="none" w:sz="0" w:space="0" w:color="auto"/>
      </w:divBdr>
    </w:div>
    <w:div w:id="670717071">
      <w:bodyDiv w:val="1"/>
      <w:marLeft w:val="0"/>
      <w:marRight w:val="0"/>
      <w:marTop w:val="0"/>
      <w:marBottom w:val="0"/>
      <w:divBdr>
        <w:top w:val="none" w:sz="0" w:space="0" w:color="auto"/>
        <w:left w:val="none" w:sz="0" w:space="0" w:color="auto"/>
        <w:bottom w:val="none" w:sz="0" w:space="0" w:color="auto"/>
        <w:right w:val="none" w:sz="0" w:space="0" w:color="auto"/>
      </w:divBdr>
    </w:div>
    <w:div w:id="726950827">
      <w:bodyDiv w:val="1"/>
      <w:marLeft w:val="0"/>
      <w:marRight w:val="0"/>
      <w:marTop w:val="0"/>
      <w:marBottom w:val="0"/>
      <w:divBdr>
        <w:top w:val="none" w:sz="0" w:space="0" w:color="auto"/>
        <w:left w:val="none" w:sz="0" w:space="0" w:color="auto"/>
        <w:bottom w:val="none" w:sz="0" w:space="0" w:color="auto"/>
        <w:right w:val="none" w:sz="0" w:space="0" w:color="auto"/>
      </w:divBdr>
    </w:div>
    <w:div w:id="900097940">
      <w:bodyDiv w:val="1"/>
      <w:marLeft w:val="0"/>
      <w:marRight w:val="0"/>
      <w:marTop w:val="0"/>
      <w:marBottom w:val="0"/>
      <w:divBdr>
        <w:top w:val="none" w:sz="0" w:space="0" w:color="auto"/>
        <w:left w:val="none" w:sz="0" w:space="0" w:color="auto"/>
        <w:bottom w:val="none" w:sz="0" w:space="0" w:color="auto"/>
        <w:right w:val="none" w:sz="0" w:space="0" w:color="auto"/>
      </w:divBdr>
    </w:div>
    <w:div w:id="953681636">
      <w:bodyDiv w:val="1"/>
      <w:marLeft w:val="0"/>
      <w:marRight w:val="0"/>
      <w:marTop w:val="0"/>
      <w:marBottom w:val="0"/>
      <w:divBdr>
        <w:top w:val="none" w:sz="0" w:space="0" w:color="auto"/>
        <w:left w:val="none" w:sz="0" w:space="0" w:color="auto"/>
        <w:bottom w:val="none" w:sz="0" w:space="0" w:color="auto"/>
        <w:right w:val="none" w:sz="0" w:space="0" w:color="auto"/>
      </w:divBdr>
    </w:div>
    <w:div w:id="1072654644">
      <w:bodyDiv w:val="1"/>
      <w:marLeft w:val="0"/>
      <w:marRight w:val="0"/>
      <w:marTop w:val="0"/>
      <w:marBottom w:val="0"/>
      <w:divBdr>
        <w:top w:val="none" w:sz="0" w:space="0" w:color="auto"/>
        <w:left w:val="none" w:sz="0" w:space="0" w:color="auto"/>
        <w:bottom w:val="none" w:sz="0" w:space="0" w:color="auto"/>
        <w:right w:val="none" w:sz="0" w:space="0" w:color="auto"/>
      </w:divBdr>
    </w:div>
    <w:div w:id="1098526477">
      <w:bodyDiv w:val="1"/>
      <w:marLeft w:val="0"/>
      <w:marRight w:val="0"/>
      <w:marTop w:val="0"/>
      <w:marBottom w:val="0"/>
      <w:divBdr>
        <w:top w:val="none" w:sz="0" w:space="0" w:color="auto"/>
        <w:left w:val="none" w:sz="0" w:space="0" w:color="auto"/>
        <w:bottom w:val="none" w:sz="0" w:space="0" w:color="auto"/>
        <w:right w:val="none" w:sz="0" w:space="0" w:color="auto"/>
      </w:divBdr>
    </w:div>
    <w:div w:id="1107887475">
      <w:bodyDiv w:val="1"/>
      <w:marLeft w:val="0"/>
      <w:marRight w:val="0"/>
      <w:marTop w:val="0"/>
      <w:marBottom w:val="0"/>
      <w:divBdr>
        <w:top w:val="none" w:sz="0" w:space="0" w:color="auto"/>
        <w:left w:val="none" w:sz="0" w:space="0" w:color="auto"/>
        <w:bottom w:val="none" w:sz="0" w:space="0" w:color="auto"/>
        <w:right w:val="none" w:sz="0" w:space="0" w:color="auto"/>
      </w:divBdr>
    </w:div>
    <w:div w:id="1134830149">
      <w:bodyDiv w:val="1"/>
      <w:marLeft w:val="0"/>
      <w:marRight w:val="0"/>
      <w:marTop w:val="0"/>
      <w:marBottom w:val="0"/>
      <w:divBdr>
        <w:top w:val="none" w:sz="0" w:space="0" w:color="auto"/>
        <w:left w:val="none" w:sz="0" w:space="0" w:color="auto"/>
        <w:bottom w:val="none" w:sz="0" w:space="0" w:color="auto"/>
        <w:right w:val="none" w:sz="0" w:space="0" w:color="auto"/>
      </w:divBdr>
    </w:div>
    <w:div w:id="1276866985">
      <w:bodyDiv w:val="1"/>
      <w:marLeft w:val="0"/>
      <w:marRight w:val="0"/>
      <w:marTop w:val="0"/>
      <w:marBottom w:val="0"/>
      <w:divBdr>
        <w:top w:val="none" w:sz="0" w:space="0" w:color="auto"/>
        <w:left w:val="none" w:sz="0" w:space="0" w:color="auto"/>
        <w:bottom w:val="none" w:sz="0" w:space="0" w:color="auto"/>
        <w:right w:val="none" w:sz="0" w:space="0" w:color="auto"/>
      </w:divBdr>
    </w:div>
    <w:div w:id="1325015313">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
    <w:div w:id="1425614146">
      <w:bodyDiv w:val="1"/>
      <w:marLeft w:val="0"/>
      <w:marRight w:val="0"/>
      <w:marTop w:val="0"/>
      <w:marBottom w:val="0"/>
      <w:divBdr>
        <w:top w:val="none" w:sz="0" w:space="0" w:color="auto"/>
        <w:left w:val="none" w:sz="0" w:space="0" w:color="auto"/>
        <w:bottom w:val="none" w:sz="0" w:space="0" w:color="auto"/>
        <w:right w:val="none" w:sz="0" w:space="0" w:color="auto"/>
      </w:divBdr>
    </w:div>
    <w:div w:id="1623422371">
      <w:bodyDiv w:val="1"/>
      <w:marLeft w:val="0"/>
      <w:marRight w:val="0"/>
      <w:marTop w:val="0"/>
      <w:marBottom w:val="0"/>
      <w:divBdr>
        <w:top w:val="none" w:sz="0" w:space="0" w:color="auto"/>
        <w:left w:val="none" w:sz="0" w:space="0" w:color="auto"/>
        <w:bottom w:val="none" w:sz="0" w:space="0" w:color="auto"/>
        <w:right w:val="none" w:sz="0" w:space="0" w:color="auto"/>
      </w:divBdr>
    </w:div>
    <w:div w:id="1630671452">
      <w:bodyDiv w:val="1"/>
      <w:marLeft w:val="0"/>
      <w:marRight w:val="0"/>
      <w:marTop w:val="0"/>
      <w:marBottom w:val="0"/>
      <w:divBdr>
        <w:top w:val="none" w:sz="0" w:space="0" w:color="auto"/>
        <w:left w:val="none" w:sz="0" w:space="0" w:color="auto"/>
        <w:bottom w:val="none" w:sz="0" w:space="0" w:color="auto"/>
        <w:right w:val="none" w:sz="0" w:space="0" w:color="auto"/>
      </w:divBdr>
    </w:div>
    <w:div w:id="1738942489">
      <w:bodyDiv w:val="1"/>
      <w:marLeft w:val="0"/>
      <w:marRight w:val="0"/>
      <w:marTop w:val="0"/>
      <w:marBottom w:val="0"/>
      <w:divBdr>
        <w:top w:val="none" w:sz="0" w:space="0" w:color="auto"/>
        <w:left w:val="none" w:sz="0" w:space="0" w:color="auto"/>
        <w:bottom w:val="none" w:sz="0" w:space="0" w:color="auto"/>
        <w:right w:val="none" w:sz="0" w:space="0" w:color="auto"/>
      </w:divBdr>
    </w:div>
    <w:div w:id="1838231734">
      <w:bodyDiv w:val="1"/>
      <w:marLeft w:val="0"/>
      <w:marRight w:val="0"/>
      <w:marTop w:val="0"/>
      <w:marBottom w:val="0"/>
      <w:divBdr>
        <w:top w:val="none" w:sz="0" w:space="0" w:color="auto"/>
        <w:left w:val="none" w:sz="0" w:space="0" w:color="auto"/>
        <w:bottom w:val="none" w:sz="0" w:space="0" w:color="auto"/>
        <w:right w:val="none" w:sz="0" w:space="0" w:color="auto"/>
      </w:divBdr>
    </w:div>
    <w:div w:id="1902710988">
      <w:bodyDiv w:val="1"/>
      <w:marLeft w:val="0"/>
      <w:marRight w:val="0"/>
      <w:marTop w:val="0"/>
      <w:marBottom w:val="0"/>
      <w:divBdr>
        <w:top w:val="none" w:sz="0" w:space="0" w:color="auto"/>
        <w:left w:val="none" w:sz="0" w:space="0" w:color="auto"/>
        <w:bottom w:val="none" w:sz="0" w:space="0" w:color="auto"/>
        <w:right w:val="none" w:sz="0" w:space="0" w:color="auto"/>
      </w:divBdr>
    </w:div>
    <w:div w:id="1949967593">
      <w:bodyDiv w:val="1"/>
      <w:marLeft w:val="0"/>
      <w:marRight w:val="0"/>
      <w:marTop w:val="0"/>
      <w:marBottom w:val="0"/>
      <w:divBdr>
        <w:top w:val="none" w:sz="0" w:space="0" w:color="auto"/>
        <w:left w:val="none" w:sz="0" w:space="0" w:color="auto"/>
        <w:bottom w:val="none" w:sz="0" w:space="0" w:color="auto"/>
        <w:right w:val="none" w:sz="0" w:space="0" w:color="auto"/>
      </w:divBdr>
    </w:div>
    <w:div w:id="1954240215">
      <w:bodyDiv w:val="1"/>
      <w:marLeft w:val="0"/>
      <w:marRight w:val="0"/>
      <w:marTop w:val="0"/>
      <w:marBottom w:val="0"/>
      <w:divBdr>
        <w:top w:val="none" w:sz="0" w:space="0" w:color="auto"/>
        <w:left w:val="none" w:sz="0" w:space="0" w:color="auto"/>
        <w:bottom w:val="none" w:sz="0" w:space="0" w:color="auto"/>
        <w:right w:val="none" w:sz="0" w:space="0" w:color="auto"/>
      </w:divBdr>
    </w:div>
    <w:div w:id="210810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commenton/OCC-2022-0002-00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ralregister.gov/documents/2022/06/03/2022-10111/community-reinvestment-ac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gs.comments@federalreserve.gov" TargetMode="External"/><Relationship Id="rId4" Type="http://schemas.openxmlformats.org/officeDocument/2006/relationships/webSettings" Target="webSettings.xml"/><Relationship Id="rId9" Type="http://schemas.openxmlformats.org/officeDocument/2006/relationships/hyperlink" Target="mailto:comments@fdi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Woodruff</dc:creator>
  <cp:keywords/>
  <dc:description/>
  <cp:lastModifiedBy>Suzanne Gunther</cp:lastModifiedBy>
  <cp:revision>2</cp:revision>
  <dcterms:created xsi:type="dcterms:W3CDTF">2022-07-26T22:22:00Z</dcterms:created>
  <dcterms:modified xsi:type="dcterms:W3CDTF">2022-07-26T22:22:00Z</dcterms:modified>
</cp:coreProperties>
</file>